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D1560">
      <w:pPr>
        <w:spacing w:before="97" w:line="225" w:lineRule="auto"/>
        <w:jc w:val="center"/>
        <w:rPr>
          <w:rFonts w:hint="eastAsia" w:ascii="方正小标宋简体" w:hAnsi="方正小标宋简体" w:eastAsia="方正小标宋简体" w:cs="方正小标宋简体"/>
          <w:b/>
          <w:bCs/>
          <w:color w:val="auto"/>
          <w:spacing w:val="1"/>
          <w:sz w:val="44"/>
          <w:szCs w:val="44"/>
          <w:highlight w:val="none"/>
          <w:lang w:eastAsia="zh-CN"/>
        </w:rPr>
      </w:pPr>
      <w:r>
        <w:rPr>
          <w:rFonts w:hint="eastAsia" w:ascii="方正小标宋简体" w:hAnsi="方正小标宋简体" w:eastAsia="方正小标宋简体" w:cs="方正小标宋简体"/>
          <w:b/>
          <w:bCs/>
          <w:color w:val="auto"/>
          <w:sz w:val="44"/>
          <w:szCs w:val="44"/>
          <w:highlight w:val="none"/>
          <w:lang w:eastAsia="zh-CN"/>
        </w:rPr>
        <w:t>长春理工</w:t>
      </w:r>
      <w:r>
        <w:rPr>
          <w:rFonts w:hint="eastAsia" w:ascii="方正小标宋简体" w:hAnsi="方正小标宋简体" w:eastAsia="方正小标宋简体" w:cs="方正小标宋简体"/>
          <w:b/>
          <w:bCs/>
          <w:color w:val="auto"/>
          <w:spacing w:val="1"/>
          <w:sz w:val="44"/>
          <w:szCs w:val="44"/>
          <w:highlight w:val="none"/>
          <w:lang w:eastAsia="zh-CN"/>
        </w:rPr>
        <w:t>大学2024年度</w:t>
      </w:r>
    </w:p>
    <w:p w14:paraId="6AE0B06A">
      <w:pPr>
        <w:keepNext w:val="0"/>
        <w:keepLines w:val="0"/>
        <w:pageBreakBefore w:val="0"/>
        <w:widowControl/>
        <w:kinsoku/>
        <w:overflowPunct/>
        <w:autoSpaceDE/>
        <w:autoSpaceDN/>
        <w:bidi w:val="0"/>
        <w:adjustRightInd w:val="0"/>
        <w:snapToGrid w:val="0"/>
        <w:spacing w:line="560" w:lineRule="exact"/>
        <w:jc w:val="center"/>
        <w:textAlignment w:val="auto"/>
        <w:rPr>
          <w:rFonts w:hint="eastAsia" w:ascii="方正小标宋_GBK" w:hAnsi="仿宋" w:eastAsia="方正小标宋_GBK" w:cs="Times New Roman"/>
          <w:b/>
          <w:bCs/>
          <w:snapToGrid/>
          <w:kern w:val="0"/>
          <w:sz w:val="44"/>
          <w:szCs w:val="44"/>
          <w:lang w:eastAsia="zh-CN"/>
        </w:rPr>
      </w:pPr>
      <w:r>
        <w:rPr>
          <w:rFonts w:hint="eastAsia" w:ascii="方正小标宋_GBK" w:hAnsi="仿宋" w:eastAsia="方正小标宋_GBK" w:cs="Times New Roman"/>
          <w:b/>
          <w:bCs/>
          <w:snapToGrid/>
          <w:kern w:val="0"/>
          <w:sz w:val="44"/>
          <w:szCs w:val="44"/>
          <w:lang w:eastAsia="zh-CN"/>
        </w:rPr>
        <w:t>中外合作办学机构办学报告</w:t>
      </w:r>
    </w:p>
    <w:p w14:paraId="4EF871C3">
      <w:pPr>
        <w:keepNext w:val="0"/>
        <w:keepLines w:val="0"/>
        <w:pageBreakBefore w:val="0"/>
        <w:widowControl/>
        <w:kinsoku/>
        <w:overflowPunct/>
        <w:autoSpaceDE/>
        <w:autoSpaceDN/>
        <w:bidi w:val="0"/>
        <w:adjustRightInd w:val="0"/>
        <w:snapToGrid w:val="0"/>
        <w:spacing w:line="560" w:lineRule="exact"/>
        <w:jc w:val="center"/>
        <w:textAlignment w:val="auto"/>
        <w:rPr>
          <w:rFonts w:hint="eastAsia" w:ascii="仿宋" w:hAnsi="仿宋" w:eastAsia="仿宋" w:cs="仿宋"/>
          <w:b/>
          <w:bCs/>
          <w:snapToGrid/>
          <w:kern w:val="0"/>
          <w:sz w:val="32"/>
          <w:szCs w:val="32"/>
          <w:lang w:eastAsia="zh-CN"/>
        </w:rPr>
      </w:pPr>
    </w:p>
    <w:p w14:paraId="748626EA">
      <w:pPr>
        <w:keepNext w:val="0"/>
        <w:keepLines w:val="0"/>
        <w:pageBreakBefore w:val="0"/>
        <w:widowControl/>
        <w:kinsoku/>
        <w:overflowPunct/>
        <w:autoSpaceDE/>
        <w:autoSpaceDN/>
        <w:bidi w:val="0"/>
        <w:adjustRightInd w:val="0"/>
        <w:snapToGrid w:val="0"/>
        <w:spacing w:line="560" w:lineRule="exact"/>
        <w:jc w:val="both"/>
        <w:textAlignment w:val="auto"/>
        <w:rPr>
          <w:rFonts w:hint="eastAsia" w:ascii="仿宋" w:hAnsi="仿宋" w:eastAsia="仿宋" w:cs="仿宋"/>
          <w:b/>
          <w:bCs/>
          <w:snapToGrid/>
          <w:kern w:val="0"/>
          <w:sz w:val="32"/>
          <w:szCs w:val="32"/>
          <w:lang w:eastAsia="zh-CN"/>
        </w:rPr>
      </w:pPr>
      <w:r>
        <w:rPr>
          <w:rFonts w:hint="eastAsia" w:ascii="仿宋" w:hAnsi="仿宋" w:eastAsia="仿宋" w:cs="仿宋"/>
          <w:b/>
          <w:bCs/>
          <w:snapToGrid/>
          <w:kern w:val="0"/>
          <w:sz w:val="32"/>
          <w:szCs w:val="32"/>
          <w:lang w:eastAsia="zh-CN"/>
        </w:rPr>
        <w:t>一、办学基本情况</w:t>
      </w:r>
    </w:p>
    <w:p w14:paraId="48FEC7C5">
      <w:pPr>
        <w:keepNext w:val="0"/>
        <w:keepLines w:val="0"/>
        <w:pageBreakBefore w:val="0"/>
        <w:widowControl/>
        <w:kinsoku/>
        <w:wordWrap w:val="0"/>
        <w:overflowPunct/>
        <w:topLinePunct/>
        <w:autoSpaceDE/>
        <w:autoSpaceDN/>
        <w:bidi w:val="0"/>
        <w:adjustRightInd w:val="0"/>
        <w:snapToGrid w:val="0"/>
        <w:spacing w:line="560" w:lineRule="exact"/>
        <w:ind w:firstLine="640" w:firstLineChars="200"/>
        <w:jc w:val="both"/>
        <w:textAlignment w:val="auto"/>
        <w:rPr>
          <w:rFonts w:hint="eastAsia" w:ascii="仿宋" w:hAnsi="仿宋" w:eastAsia="仿宋" w:cs="仿宋"/>
          <w:snapToGrid/>
          <w:kern w:val="0"/>
          <w:sz w:val="32"/>
          <w:szCs w:val="32"/>
          <w:lang w:eastAsia="zh-CN"/>
        </w:rPr>
      </w:pPr>
      <w:r>
        <w:rPr>
          <w:rFonts w:hint="eastAsia" w:ascii="仿宋" w:hAnsi="仿宋" w:eastAsia="仿宋" w:cs="仿宋"/>
          <w:snapToGrid/>
          <w:kern w:val="0"/>
          <w:sz w:val="32"/>
          <w:szCs w:val="32"/>
          <w:lang w:eastAsia="zh-CN"/>
        </w:rPr>
        <w:t>（</w:t>
      </w:r>
      <w:r>
        <w:rPr>
          <w:rFonts w:hint="eastAsia" w:ascii="仿宋" w:hAnsi="仿宋" w:eastAsia="仿宋" w:cs="仿宋"/>
          <w:snapToGrid/>
          <w:kern w:val="0"/>
          <w:sz w:val="32"/>
          <w:szCs w:val="32"/>
          <w:lang w:val="en-US" w:eastAsia="zh-CN"/>
        </w:rPr>
        <w:t>一</w:t>
      </w:r>
      <w:r>
        <w:rPr>
          <w:rFonts w:hint="eastAsia" w:ascii="仿宋" w:hAnsi="仿宋" w:eastAsia="仿宋" w:cs="仿宋"/>
          <w:snapToGrid/>
          <w:kern w:val="0"/>
          <w:sz w:val="32"/>
          <w:szCs w:val="32"/>
          <w:lang w:eastAsia="zh-CN"/>
        </w:rPr>
        <w:t>）机构基本信息</w:t>
      </w:r>
    </w:p>
    <w:p w14:paraId="5880E426">
      <w:pPr>
        <w:keepNext w:val="0"/>
        <w:keepLines w:val="0"/>
        <w:pageBreakBefore w:val="0"/>
        <w:widowControl/>
        <w:kinsoku/>
        <w:wordWrap w:val="0"/>
        <w:overflowPunct/>
        <w:topLinePunct/>
        <w:autoSpaceDE/>
        <w:autoSpaceDN/>
        <w:bidi w:val="0"/>
        <w:adjustRightInd w:val="0"/>
        <w:snapToGrid w:val="0"/>
        <w:spacing w:line="560" w:lineRule="exact"/>
        <w:ind w:firstLine="640" w:firstLineChars="200"/>
        <w:jc w:val="both"/>
        <w:textAlignment w:val="auto"/>
        <w:rPr>
          <w:rFonts w:hint="eastAsia" w:ascii="仿宋" w:hAnsi="仿宋" w:eastAsia="仿宋" w:cs="仿宋"/>
          <w:snapToGrid/>
          <w:kern w:val="0"/>
          <w:sz w:val="32"/>
          <w:szCs w:val="32"/>
          <w:lang w:eastAsia="zh-CN"/>
        </w:rPr>
      </w:pPr>
      <w:r>
        <w:rPr>
          <w:rFonts w:hint="eastAsia" w:ascii="仿宋" w:hAnsi="仿宋" w:eastAsia="仿宋" w:cs="仿宋"/>
          <w:snapToGrid/>
          <w:kern w:val="0"/>
          <w:sz w:val="32"/>
          <w:szCs w:val="32"/>
          <w:lang w:eastAsia="zh-CN"/>
        </w:rPr>
        <w:t>长春理工大学与俄罗斯圣彼得堡国立信息技术机械与光学大学（以下简称：圣光机大学）合作举办的长春理工大学圣光机大学联合学院（以下简称：学院）于2022年获教育部批准成立。学院开展本科学历教育、外国硕士学位教育和博士研究生学历教育，开设测控技术与仪器（专业代码：</w:t>
      </w:r>
      <w:r>
        <w:rPr>
          <w:rFonts w:hint="eastAsia" w:ascii="仿宋" w:hAnsi="仿宋" w:eastAsia="仿宋" w:cs="仿宋"/>
          <w:snapToGrid/>
          <w:kern w:val="0"/>
          <w:sz w:val="32"/>
          <w:szCs w:val="32"/>
          <w:lang w:eastAsia="zh-CN"/>
        </w:rPr>
        <w:fldChar w:fldCharType="begin"/>
      </w:r>
      <w:r>
        <w:rPr>
          <w:rFonts w:hint="eastAsia" w:ascii="仿宋" w:hAnsi="仿宋" w:eastAsia="仿宋" w:cs="仿宋"/>
          <w:snapToGrid/>
          <w:kern w:val="0"/>
          <w:sz w:val="32"/>
          <w:szCs w:val="32"/>
          <w:lang w:eastAsia="zh-CN"/>
        </w:rPr>
        <w:instrText xml:space="preserve"> HYPERLINK "https://itmo.cust.edu.cn/bksjy/zyjz1/07602e44039b45fc8117918d27142b94.htm" \t "https://itmo.cust.edu.cn/bksjy/zyjz1/_blank" \o "测控技术与仪器专业（080301H）" </w:instrText>
      </w:r>
      <w:r>
        <w:rPr>
          <w:rFonts w:hint="eastAsia" w:ascii="仿宋" w:hAnsi="仿宋" w:eastAsia="仿宋" w:cs="仿宋"/>
          <w:snapToGrid/>
          <w:kern w:val="0"/>
          <w:sz w:val="32"/>
          <w:szCs w:val="32"/>
          <w:lang w:eastAsia="zh-CN"/>
        </w:rPr>
        <w:fldChar w:fldCharType="separate"/>
      </w:r>
      <w:r>
        <w:rPr>
          <w:rFonts w:hint="eastAsia" w:ascii="仿宋" w:hAnsi="仿宋" w:eastAsia="仿宋" w:cs="仿宋"/>
          <w:snapToGrid/>
          <w:kern w:val="0"/>
          <w:sz w:val="32"/>
          <w:szCs w:val="32"/>
          <w:lang w:eastAsia="zh-CN"/>
        </w:rPr>
        <w:t>080301H</w:t>
      </w:r>
      <w:r>
        <w:rPr>
          <w:rFonts w:hint="eastAsia" w:ascii="仿宋" w:hAnsi="仿宋" w:eastAsia="仿宋" w:cs="仿宋"/>
          <w:snapToGrid/>
          <w:kern w:val="0"/>
          <w:sz w:val="32"/>
          <w:szCs w:val="32"/>
          <w:lang w:eastAsia="zh-CN"/>
        </w:rPr>
        <w:fldChar w:fldCharType="end"/>
      </w:r>
      <w:r>
        <w:rPr>
          <w:rFonts w:hint="eastAsia" w:ascii="仿宋" w:hAnsi="仿宋" w:eastAsia="仿宋" w:cs="仿宋"/>
          <w:snapToGrid/>
          <w:kern w:val="0"/>
          <w:sz w:val="32"/>
          <w:szCs w:val="32"/>
          <w:lang w:eastAsia="zh-CN"/>
        </w:rPr>
        <w:t>）、电子科学与技术（专业代码：080702H）、应用物理学（专业代码：</w:t>
      </w:r>
      <w:r>
        <w:rPr>
          <w:rFonts w:hint="eastAsia" w:ascii="仿宋" w:hAnsi="仿宋" w:eastAsia="仿宋" w:cs="仿宋"/>
          <w:snapToGrid/>
          <w:kern w:val="0"/>
          <w:sz w:val="32"/>
          <w:szCs w:val="32"/>
          <w:lang w:eastAsia="zh-CN"/>
        </w:rPr>
        <w:fldChar w:fldCharType="begin"/>
      </w:r>
      <w:r>
        <w:rPr>
          <w:rFonts w:hint="eastAsia" w:ascii="仿宋" w:hAnsi="仿宋" w:eastAsia="仿宋" w:cs="仿宋"/>
          <w:snapToGrid/>
          <w:kern w:val="0"/>
          <w:sz w:val="32"/>
          <w:szCs w:val="32"/>
          <w:lang w:eastAsia="zh-CN"/>
        </w:rPr>
        <w:instrText xml:space="preserve"> HYPERLINK "https://itmo.cust.edu.cn/bksjy/zyjz1/6743407559db41ba9ce570c8f2271484.htm" \t "https://itmo.cust.edu.cn/bksjy/zyjz1/_blank" \o "应用物理专业（070202H）" </w:instrText>
      </w:r>
      <w:r>
        <w:rPr>
          <w:rFonts w:hint="eastAsia" w:ascii="仿宋" w:hAnsi="仿宋" w:eastAsia="仿宋" w:cs="仿宋"/>
          <w:snapToGrid/>
          <w:kern w:val="0"/>
          <w:sz w:val="32"/>
          <w:szCs w:val="32"/>
          <w:lang w:eastAsia="zh-CN"/>
        </w:rPr>
        <w:fldChar w:fldCharType="separate"/>
      </w:r>
      <w:r>
        <w:rPr>
          <w:rFonts w:hint="eastAsia" w:ascii="仿宋" w:hAnsi="仿宋" w:eastAsia="仿宋" w:cs="仿宋"/>
          <w:snapToGrid/>
          <w:kern w:val="0"/>
          <w:sz w:val="32"/>
          <w:szCs w:val="32"/>
          <w:lang w:eastAsia="zh-CN"/>
        </w:rPr>
        <w:t>070202H</w:t>
      </w:r>
      <w:r>
        <w:rPr>
          <w:rFonts w:hint="eastAsia" w:ascii="仿宋" w:hAnsi="仿宋" w:eastAsia="仿宋" w:cs="仿宋"/>
          <w:snapToGrid/>
          <w:kern w:val="0"/>
          <w:sz w:val="32"/>
          <w:szCs w:val="32"/>
          <w:lang w:eastAsia="zh-CN"/>
        </w:rPr>
        <w:fldChar w:fldCharType="end"/>
      </w:r>
      <w:r>
        <w:rPr>
          <w:rFonts w:hint="eastAsia" w:ascii="仿宋" w:hAnsi="仿宋" w:eastAsia="仿宋" w:cs="仿宋"/>
          <w:snapToGrid/>
          <w:kern w:val="0"/>
          <w:sz w:val="32"/>
          <w:szCs w:val="32"/>
          <w:lang w:eastAsia="zh-CN"/>
        </w:rPr>
        <w:t>）三个本科专业，光学工程（专业代码：0803H）硕士专业，光学博士（专业代码：</w:t>
      </w:r>
      <w:r>
        <w:rPr>
          <w:rFonts w:hint="eastAsia" w:ascii="仿宋" w:hAnsi="仿宋" w:eastAsia="仿宋" w:cs="仿宋"/>
          <w:snapToGrid/>
          <w:kern w:val="0"/>
          <w:sz w:val="32"/>
          <w:szCs w:val="32"/>
          <w:lang w:eastAsia="zh-CN"/>
        </w:rPr>
        <w:fldChar w:fldCharType="begin"/>
      </w:r>
      <w:r>
        <w:rPr>
          <w:rFonts w:hint="eastAsia" w:ascii="仿宋" w:hAnsi="仿宋" w:eastAsia="仿宋" w:cs="仿宋"/>
          <w:snapToGrid/>
          <w:kern w:val="0"/>
          <w:sz w:val="32"/>
          <w:szCs w:val="32"/>
          <w:lang w:eastAsia="zh-CN"/>
        </w:rPr>
        <w:instrText xml:space="preserve"> HYPERLINK "https://itmo.cust.edu.cn/bksjy/zyjz1/6743407559db41ba9ce570c8f2271484.htm" \t "https://itmo.cust.edu.cn/bksjy/zyjz1/_blank" \o "应用物理专业（070202H）" </w:instrText>
      </w:r>
      <w:r>
        <w:rPr>
          <w:rFonts w:hint="eastAsia" w:ascii="仿宋" w:hAnsi="仿宋" w:eastAsia="仿宋" w:cs="仿宋"/>
          <w:snapToGrid/>
          <w:kern w:val="0"/>
          <w:sz w:val="32"/>
          <w:szCs w:val="32"/>
          <w:lang w:eastAsia="zh-CN"/>
        </w:rPr>
        <w:fldChar w:fldCharType="separate"/>
      </w:r>
      <w:r>
        <w:rPr>
          <w:rFonts w:hint="eastAsia" w:ascii="仿宋" w:hAnsi="仿宋" w:eastAsia="仿宋" w:cs="仿宋"/>
          <w:snapToGrid/>
          <w:kern w:val="0"/>
          <w:sz w:val="32"/>
          <w:szCs w:val="32"/>
          <w:lang w:eastAsia="zh-CN"/>
        </w:rPr>
        <w:t>07020</w:t>
      </w:r>
      <w:r>
        <w:rPr>
          <w:rFonts w:hint="eastAsia" w:ascii="仿宋" w:hAnsi="仿宋" w:eastAsia="仿宋" w:cs="仿宋"/>
          <w:snapToGrid/>
          <w:kern w:val="0"/>
          <w:sz w:val="32"/>
          <w:szCs w:val="32"/>
          <w:lang w:val="en-US" w:eastAsia="zh-CN"/>
        </w:rPr>
        <w:t>7</w:t>
      </w:r>
      <w:r>
        <w:rPr>
          <w:rFonts w:hint="eastAsia" w:ascii="仿宋" w:hAnsi="仿宋" w:eastAsia="仿宋" w:cs="仿宋"/>
          <w:snapToGrid/>
          <w:kern w:val="0"/>
          <w:sz w:val="32"/>
          <w:szCs w:val="32"/>
          <w:lang w:eastAsia="zh-CN"/>
        </w:rPr>
        <w:t>H</w:t>
      </w:r>
      <w:r>
        <w:rPr>
          <w:rFonts w:hint="eastAsia" w:ascii="仿宋" w:hAnsi="仿宋" w:eastAsia="仿宋" w:cs="仿宋"/>
          <w:snapToGrid/>
          <w:kern w:val="0"/>
          <w:sz w:val="32"/>
          <w:szCs w:val="32"/>
          <w:lang w:eastAsia="zh-CN"/>
        </w:rPr>
        <w:fldChar w:fldCharType="end"/>
      </w:r>
      <w:r>
        <w:rPr>
          <w:rFonts w:hint="eastAsia" w:ascii="仿宋" w:hAnsi="仿宋" w:eastAsia="仿宋" w:cs="仿宋"/>
          <w:snapToGrid/>
          <w:kern w:val="0"/>
          <w:sz w:val="32"/>
          <w:szCs w:val="32"/>
          <w:lang w:eastAsia="zh-CN"/>
        </w:rPr>
        <w:t>）专业，中外合作办学机构批准证书编号：MOE22RUA02DNR20222285N。</w:t>
      </w:r>
    </w:p>
    <w:p w14:paraId="0502E3DE">
      <w:pPr>
        <w:keepNext w:val="0"/>
        <w:keepLines w:val="0"/>
        <w:pageBreakBefore w:val="0"/>
        <w:widowControl/>
        <w:kinsoku/>
        <w:wordWrap w:val="0"/>
        <w:overflowPunct/>
        <w:topLinePunct/>
        <w:autoSpaceDE/>
        <w:autoSpaceDN/>
        <w:bidi w:val="0"/>
        <w:adjustRightInd w:val="0"/>
        <w:snapToGrid w:val="0"/>
        <w:spacing w:line="560" w:lineRule="exact"/>
        <w:ind w:firstLine="640" w:firstLineChars="200"/>
        <w:jc w:val="both"/>
        <w:textAlignment w:val="auto"/>
        <w:rPr>
          <w:rFonts w:hint="eastAsia" w:ascii="仿宋" w:hAnsi="仿宋" w:eastAsia="仿宋" w:cs="仿宋"/>
          <w:snapToGrid/>
          <w:kern w:val="0"/>
          <w:sz w:val="32"/>
          <w:szCs w:val="32"/>
          <w:lang w:eastAsia="zh-CN"/>
        </w:rPr>
      </w:pPr>
      <w:r>
        <w:rPr>
          <w:rFonts w:hint="eastAsia" w:ascii="仿宋" w:hAnsi="仿宋" w:eastAsia="仿宋" w:cs="仿宋"/>
          <w:snapToGrid/>
          <w:kern w:val="0"/>
          <w:sz w:val="32"/>
          <w:szCs w:val="32"/>
          <w:lang w:eastAsia="zh-CN"/>
        </w:rPr>
        <w:t>学院办学总规模为860人。其中本科生每年招收200人（测控技术与仪器专业每年招收85人，电子科学技术专业每年招收85人，应用物理学专业每年招收30人），纳入国家统招，在长春理工大学招生计划内统筹安排；硕士研究生每年自主招收20人；博士研究生每年招收5人，在长春理工大学招生计划内统筹安排，按国家有关招生政策规定执行。</w:t>
      </w:r>
    </w:p>
    <w:p w14:paraId="60B5CE9F">
      <w:pPr>
        <w:keepNext w:val="0"/>
        <w:keepLines w:val="0"/>
        <w:pageBreakBefore w:val="0"/>
        <w:widowControl/>
        <w:kinsoku/>
        <w:wordWrap w:val="0"/>
        <w:overflowPunct/>
        <w:topLinePunct/>
        <w:autoSpaceDE/>
        <w:autoSpaceDN/>
        <w:bidi w:val="0"/>
        <w:adjustRightInd w:val="0"/>
        <w:snapToGrid w:val="0"/>
        <w:spacing w:line="560" w:lineRule="exact"/>
        <w:ind w:firstLine="640" w:firstLineChars="200"/>
        <w:jc w:val="both"/>
        <w:textAlignment w:val="auto"/>
        <w:rPr>
          <w:rFonts w:hint="eastAsia" w:ascii="仿宋" w:hAnsi="仿宋" w:eastAsia="仿宋" w:cs="仿宋"/>
          <w:snapToGrid/>
          <w:kern w:val="0"/>
          <w:sz w:val="32"/>
          <w:szCs w:val="32"/>
          <w:lang w:eastAsia="zh-CN"/>
        </w:rPr>
      </w:pPr>
      <w:r>
        <w:rPr>
          <w:rFonts w:hint="eastAsia" w:ascii="仿宋" w:hAnsi="仿宋" w:eastAsia="仿宋" w:cs="仿宋"/>
          <w:snapToGrid/>
          <w:kern w:val="0"/>
          <w:sz w:val="32"/>
          <w:szCs w:val="32"/>
          <w:lang w:eastAsia="zh-CN"/>
        </w:rPr>
        <w:t>（</w:t>
      </w:r>
      <w:r>
        <w:rPr>
          <w:rFonts w:hint="eastAsia" w:ascii="仿宋" w:hAnsi="仿宋" w:eastAsia="仿宋" w:cs="仿宋"/>
          <w:snapToGrid/>
          <w:kern w:val="0"/>
          <w:sz w:val="32"/>
          <w:szCs w:val="32"/>
          <w:lang w:val="en-US" w:eastAsia="zh-CN"/>
        </w:rPr>
        <w:t>二</w:t>
      </w:r>
      <w:r>
        <w:rPr>
          <w:rFonts w:hint="eastAsia" w:ascii="仿宋" w:hAnsi="仿宋" w:eastAsia="仿宋" w:cs="仿宋"/>
          <w:snapToGrid/>
          <w:kern w:val="0"/>
          <w:sz w:val="32"/>
          <w:szCs w:val="32"/>
          <w:lang w:eastAsia="zh-CN"/>
        </w:rPr>
        <w:t>）办学定位与目标</w:t>
      </w:r>
    </w:p>
    <w:p w14:paraId="4EC918E2">
      <w:pPr>
        <w:keepNext w:val="0"/>
        <w:keepLines w:val="0"/>
        <w:pageBreakBefore w:val="0"/>
        <w:widowControl/>
        <w:kinsoku/>
        <w:wordWrap w:val="0"/>
        <w:overflowPunct/>
        <w:topLinePunct/>
        <w:autoSpaceDE/>
        <w:autoSpaceDN/>
        <w:bidi w:val="0"/>
        <w:adjustRightInd w:val="0"/>
        <w:snapToGrid w:val="0"/>
        <w:spacing w:line="560" w:lineRule="exact"/>
        <w:ind w:firstLine="640" w:firstLineChars="200"/>
        <w:jc w:val="both"/>
        <w:textAlignment w:val="auto"/>
        <w:rPr>
          <w:rFonts w:hint="eastAsia" w:ascii="仿宋" w:hAnsi="仿宋" w:eastAsia="仿宋" w:cs="仿宋"/>
          <w:color w:val="auto"/>
          <w:sz w:val="32"/>
          <w:szCs w:val="32"/>
          <w:highlight w:val="none"/>
          <w:lang w:eastAsia="zh-CN"/>
        </w:rPr>
      </w:pPr>
      <w:r>
        <w:rPr>
          <w:rFonts w:hint="eastAsia" w:ascii="仿宋" w:hAnsi="仿宋" w:eastAsia="仿宋" w:cs="仿宋"/>
          <w:snapToGrid/>
          <w:kern w:val="0"/>
          <w:sz w:val="32"/>
          <w:szCs w:val="32"/>
          <w:lang w:eastAsia="zh-CN"/>
        </w:rPr>
        <w:t>学院坚持社会主义办学方向，落实立德树人根本任务，以“高起点、小而精、研究型”为办学定位，聚焦国家战</w:t>
      </w:r>
      <w:r>
        <w:rPr>
          <w:rFonts w:hint="eastAsia" w:ascii="仿宋" w:hAnsi="仿宋" w:eastAsia="仿宋" w:cs="仿宋"/>
          <w:color w:val="auto"/>
          <w:sz w:val="32"/>
          <w:szCs w:val="32"/>
          <w:highlight w:val="none"/>
          <w:lang w:eastAsia="zh-CN"/>
        </w:rPr>
        <w:t>略、区域发展、行业需求，创新</w:t>
      </w:r>
      <w:r>
        <w:rPr>
          <w:rFonts w:hint="eastAsia" w:ascii="仿宋" w:hAnsi="仿宋" w:eastAsia="仿宋" w:cs="仿宋"/>
          <w:color w:val="auto"/>
          <w:sz w:val="32"/>
          <w:szCs w:val="32"/>
          <w:highlight w:val="none"/>
          <w:lang w:val="en-US" w:eastAsia="zh-CN"/>
        </w:rPr>
        <w:t>拔尖创新</w:t>
      </w:r>
      <w:r>
        <w:rPr>
          <w:rFonts w:hint="eastAsia" w:ascii="仿宋" w:hAnsi="仿宋" w:eastAsia="仿宋" w:cs="仿宋"/>
          <w:color w:val="auto"/>
          <w:sz w:val="32"/>
          <w:szCs w:val="32"/>
          <w:highlight w:val="none"/>
          <w:lang w:eastAsia="zh-CN"/>
        </w:rPr>
        <w:t>人才培养模式，建设世界一流光电特色研究型学院，服务吉林省光电子产业发展，丰富“一带一路”教育对外开放内涵。</w:t>
      </w:r>
    </w:p>
    <w:p w14:paraId="21E52B34">
      <w:pPr>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学院</w:t>
      </w:r>
      <w:r>
        <w:rPr>
          <w:rFonts w:hint="eastAsia" w:ascii="仿宋" w:hAnsi="仿宋" w:eastAsia="仿宋" w:cs="仿宋"/>
          <w:color w:val="auto"/>
          <w:sz w:val="32"/>
          <w:szCs w:val="32"/>
          <w:highlight w:val="none"/>
          <w:lang w:eastAsia="zh-CN"/>
        </w:rPr>
        <w:t>借鉴俄罗斯高等教育先进办学理念，发挥中外双方资源优势，围绕光学设计、激光技术、光子学、光通讯等领域，培养具备扎实数理基础、系统专业知识、宽阔国际视野和浓厚家国情怀的拔尖创新人才。</w:t>
      </w:r>
    </w:p>
    <w:p w14:paraId="3BF8415C">
      <w:pPr>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三</w:t>
      </w:r>
      <w:r>
        <w:rPr>
          <w:rFonts w:hint="eastAsia" w:ascii="仿宋" w:hAnsi="仿宋" w:eastAsia="仿宋" w:cs="仿宋"/>
          <w:b w:val="0"/>
          <w:bCs w:val="0"/>
          <w:color w:val="auto"/>
          <w:sz w:val="32"/>
          <w:szCs w:val="32"/>
          <w:highlight w:val="none"/>
          <w:lang w:eastAsia="zh-CN"/>
        </w:rPr>
        <w:t>）中外方参与制定更新培养方案与教学计划情况</w:t>
      </w:r>
    </w:p>
    <w:p w14:paraId="77D6A932">
      <w:pPr>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中俄</w:t>
      </w:r>
      <w:r>
        <w:rPr>
          <w:rFonts w:hint="eastAsia" w:ascii="仿宋" w:hAnsi="仿宋" w:eastAsia="仿宋" w:cs="仿宋"/>
          <w:color w:val="auto"/>
          <w:sz w:val="32"/>
          <w:szCs w:val="32"/>
          <w:highlight w:val="none"/>
          <w:lang w:val="en-US" w:eastAsia="zh-CN"/>
        </w:rPr>
        <w:t>两校</w:t>
      </w:r>
      <w:r>
        <w:rPr>
          <w:rFonts w:hint="eastAsia" w:ascii="仿宋" w:hAnsi="仿宋" w:eastAsia="仿宋" w:cs="仿宋"/>
          <w:color w:val="auto"/>
          <w:sz w:val="32"/>
          <w:szCs w:val="32"/>
          <w:highlight w:val="none"/>
          <w:lang w:eastAsia="zh-CN"/>
        </w:rPr>
        <w:t>共同监控教学动态，掌控学情动态，</w:t>
      </w:r>
      <w:r>
        <w:rPr>
          <w:rFonts w:hint="eastAsia" w:ascii="仿宋" w:hAnsi="仿宋" w:eastAsia="仿宋" w:cs="仿宋"/>
          <w:color w:val="auto"/>
          <w:sz w:val="32"/>
          <w:szCs w:val="32"/>
          <w:highlight w:val="none"/>
          <w:lang w:val="en-US" w:eastAsia="zh-CN"/>
        </w:rPr>
        <w:t>科学</w:t>
      </w:r>
      <w:r>
        <w:rPr>
          <w:rFonts w:hint="eastAsia" w:ascii="仿宋" w:hAnsi="仿宋" w:eastAsia="仿宋" w:cs="仿宋"/>
          <w:color w:val="auto"/>
          <w:sz w:val="32"/>
          <w:szCs w:val="32"/>
          <w:highlight w:val="none"/>
          <w:lang w:eastAsia="zh-CN"/>
        </w:rPr>
        <w:t>调整教学计划，</w:t>
      </w:r>
      <w:r>
        <w:rPr>
          <w:rFonts w:hint="eastAsia" w:ascii="仿宋" w:hAnsi="仿宋" w:eastAsia="仿宋" w:cs="仿宋"/>
          <w:color w:val="auto"/>
          <w:sz w:val="32"/>
          <w:szCs w:val="32"/>
          <w:highlight w:val="none"/>
          <w:lang w:val="en-US" w:eastAsia="zh-CN"/>
        </w:rPr>
        <w:t>更新培养方案</w:t>
      </w:r>
      <w:r>
        <w:rPr>
          <w:rFonts w:hint="eastAsia" w:ascii="仿宋" w:hAnsi="仿宋" w:eastAsia="仿宋" w:cs="仿宋"/>
          <w:color w:val="auto"/>
          <w:sz w:val="32"/>
          <w:szCs w:val="32"/>
          <w:highlight w:val="none"/>
          <w:lang w:eastAsia="zh-CN"/>
        </w:rPr>
        <w:t>。为保证学生权益，双方依据各自大学制定的学位授予标准和条件，重新核准学院本硕博3个层次5个专业的毕业条件和相关要求，确保学生在达到毕业条件并符合两校学位授予标准的情况下，获得中俄两校相应专业的学历学位证书。</w:t>
      </w:r>
    </w:p>
    <w:p w14:paraId="4CC4D6F2">
      <w:pPr>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2024年，根据俄罗斯教育部的规定，</w:t>
      </w:r>
      <w:r>
        <w:rPr>
          <w:rFonts w:hint="eastAsia" w:ascii="仿宋" w:hAnsi="仿宋" w:eastAsia="仿宋" w:cs="仿宋"/>
          <w:color w:val="auto"/>
          <w:sz w:val="32"/>
          <w:szCs w:val="32"/>
          <w:highlight w:val="none"/>
          <w:lang w:val="en-US" w:eastAsia="zh-CN"/>
        </w:rPr>
        <w:t>在</w:t>
      </w:r>
      <w:r>
        <w:rPr>
          <w:rFonts w:hint="eastAsia" w:ascii="仿宋" w:hAnsi="仿宋" w:eastAsia="仿宋" w:cs="仿宋"/>
          <w:color w:val="auto"/>
          <w:sz w:val="32"/>
          <w:szCs w:val="32"/>
          <w:highlight w:val="none"/>
          <w:lang w:eastAsia="zh-CN"/>
        </w:rPr>
        <w:t>教学计划中增加了“俄罗斯历史”课程。同时，根据2022级学生学情实际情况，中俄双方经过协商，对第五和第六学期的课程进行了调整，例如，鉴于学生机械制图知识薄弱，取消原课程体系中“光学仪器CAD”课程，变更为“光纤与光纤通信”课程。修订后的教学计划既保留了各专业特色和优势，引进课程数没有变化，仍然符合协议中规定的引进俄方专业核心课程门数占比的原则。符合教育部关于“四个三分之一”的要求。</w:t>
      </w:r>
    </w:p>
    <w:p w14:paraId="00A84D20">
      <w:pPr>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四</w:t>
      </w:r>
      <w:r>
        <w:rPr>
          <w:rFonts w:hint="eastAsia" w:ascii="仿宋" w:hAnsi="仿宋" w:eastAsia="仿宋" w:cs="仿宋"/>
          <w:b w:val="0"/>
          <w:bCs w:val="0"/>
          <w:color w:val="auto"/>
          <w:sz w:val="32"/>
          <w:szCs w:val="32"/>
          <w:highlight w:val="none"/>
          <w:lang w:eastAsia="zh-CN"/>
        </w:rPr>
        <w:t>）本年度招生和毕业生情况</w:t>
      </w:r>
    </w:p>
    <w:p w14:paraId="47159FBF">
      <w:pPr>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2024年</w:t>
      </w:r>
      <w:r>
        <w:rPr>
          <w:rFonts w:hint="eastAsia" w:ascii="仿宋" w:hAnsi="仿宋" w:eastAsia="仿宋" w:cs="仿宋"/>
          <w:color w:val="auto"/>
          <w:sz w:val="32"/>
          <w:szCs w:val="32"/>
          <w:highlight w:val="none"/>
          <w:lang w:val="en-US" w:eastAsia="zh-CN"/>
        </w:rPr>
        <w:t>学院严格按照教育部关于中外合作办学相关要求开展招生宣传和录取工作，本科生招生指标200人，实际录取200人，实际报到</w:t>
      </w:r>
      <w:r>
        <w:rPr>
          <w:rFonts w:hint="eastAsia" w:ascii="仿宋" w:hAnsi="仿宋" w:eastAsia="仿宋" w:cs="仿宋"/>
          <w:color w:val="auto"/>
          <w:sz w:val="32"/>
          <w:szCs w:val="32"/>
          <w:highlight w:val="none"/>
          <w:lang w:eastAsia="zh-CN"/>
        </w:rPr>
        <w:t>189人；</w:t>
      </w:r>
      <w:r>
        <w:rPr>
          <w:rFonts w:hint="eastAsia" w:ascii="仿宋" w:hAnsi="仿宋" w:eastAsia="仿宋" w:cs="仿宋"/>
          <w:color w:val="auto"/>
          <w:sz w:val="32"/>
          <w:szCs w:val="32"/>
          <w:highlight w:val="none"/>
          <w:lang w:val="en-US" w:eastAsia="zh-CN"/>
        </w:rPr>
        <w:t>硕士研究生招生指标</w:t>
      </w:r>
      <w:r>
        <w:rPr>
          <w:rFonts w:hint="eastAsia" w:ascii="仿宋" w:hAnsi="仿宋" w:eastAsia="仿宋" w:cs="仿宋"/>
          <w:color w:val="auto"/>
          <w:sz w:val="32"/>
          <w:szCs w:val="32"/>
          <w:highlight w:val="none"/>
          <w:lang w:eastAsia="zh-CN"/>
        </w:rPr>
        <w:t>20人，</w:t>
      </w:r>
      <w:r>
        <w:rPr>
          <w:rFonts w:hint="eastAsia" w:ascii="仿宋" w:hAnsi="仿宋" w:eastAsia="仿宋" w:cs="仿宋"/>
          <w:color w:val="auto"/>
          <w:sz w:val="32"/>
          <w:szCs w:val="32"/>
          <w:highlight w:val="none"/>
          <w:lang w:val="en-US" w:eastAsia="zh-CN"/>
        </w:rPr>
        <w:t>实际录取20人，实际报到20</w:t>
      </w:r>
      <w:r>
        <w:rPr>
          <w:rFonts w:hint="eastAsia" w:ascii="仿宋" w:hAnsi="仿宋" w:eastAsia="仿宋" w:cs="仿宋"/>
          <w:color w:val="auto"/>
          <w:sz w:val="32"/>
          <w:szCs w:val="32"/>
          <w:highlight w:val="none"/>
          <w:lang w:eastAsia="zh-CN"/>
        </w:rPr>
        <w:t>人；博士</w:t>
      </w:r>
      <w:r>
        <w:rPr>
          <w:rFonts w:hint="eastAsia" w:ascii="仿宋" w:hAnsi="仿宋" w:eastAsia="仿宋" w:cs="仿宋"/>
          <w:color w:val="auto"/>
          <w:sz w:val="32"/>
          <w:szCs w:val="32"/>
          <w:highlight w:val="none"/>
          <w:lang w:val="en-US" w:eastAsia="zh-CN"/>
        </w:rPr>
        <w:t>研究生招生指标5人，实际录取4人，实际报到</w:t>
      </w:r>
      <w:r>
        <w:rPr>
          <w:rFonts w:hint="eastAsia" w:ascii="仿宋" w:hAnsi="仿宋" w:eastAsia="仿宋" w:cs="仿宋"/>
          <w:color w:val="auto"/>
          <w:sz w:val="32"/>
          <w:szCs w:val="32"/>
          <w:highlight w:val="none"/>
          <w:lang w:eastAsia="zh-CN"/>
        </w:rPr>
        <w:t>4人。</w:t>
      </w:r>
      <w:r>
        <w:rPr>
          <w:rFonts w:hint="eastAsia" w:ascii="仿宋" w:hAnsi="仿宋" w:eastAsia="仿宋" w:cs="仿宋"/>
          <w:color w:val="auto"/>
          <w:sz w:val="32"/>
          <w:szCs w:val="32"/>
          <w:highlight w:val="none"/>
          <w:lang w:val="en-US" w:eastAsia="zh-CN"/>
        </w:rPr>
        <w:t>学院</w:t>
      </w:r>
      <w:r>
        <w:rPr>
          <w:rFonts w:hint="eastAsia" w:ascii="仿宋" w:hAnsi="仿宋" w:eastAsia="仿宋" w:cs="仿宋"/>
          <w:color w:val="auto"/>
          <w:sz w:val="32"/>
          <w:szCs w:val="32"/>
          <w:highlight w:val="none"/>
          <w:lang w:eastAsia="zh-CN"/>
        </w:rPr>
        <w:t>本科</w:t>
      </w:r>
      <w:r>
        <w:rPr>
          <w:rFonts w:hint="eastAsia" w:ascii="仿宋" w:hAnsi="仿宋" w:eastAsia="仿宋" w:cs="仿宋"/>
          <w:color w:val="auto"/>
          <w:sz w:val="32"/>
          <w:szCs w:val="32"/>
          <w:highlight w:val="none"/>
          <w:lang w:val="en-US" w:eastAsia="zh-CN"/>
        </w:rPr>
        <w:t>专业为</w:t>
      </w:r>
      <w:r>
        <w:rPr>
          <w:rFonts w:hint="eastAsia" w:ascii="仿宋" w:hAnsi="仿宋" w:eastAsia="仿宋" w:cs="仿宋"/>
          <w:color w:val="auto"/>
          <w:sz w:val="32"/>
          <w:szCs w:val="32"/>
          <w:highlight w:val="none"/>
          <w:lang w:eastAsia="zh-CN"/>
        </w:rPr>
        <w:t>第三年招生，</w:t>
      </w:r>
      <w:r>
        <w:rPr>
          <w:rFonts w:hint="eastAsia" w:ascii="仿宋" w:hAnsi="仿宋" w:eastAsia="仿宋" w:cs="仿宋"/>
          <w:color w:val="auto"/>
          <w:sz w:val="32"/>
          <w:szCs w:val="32"/>
          <w:highlight w:val="none"/>
          <w:lang w:val="en-US" w:eastAsia="zh-CN"/>
        </w:rPr>
        <w:t>目前</w:t>
      </w:r>
      <w:r>
        <w:rPr>
          <w:rFonts w:hint="eastAsia" w:ascii="仿宋" w:hAnsi="仿宋" w:eastAsia="仿宋" w:cs="仿宋"/>
          <w:color w:val="auto"/>
          <w:sz w:val="32"/>
          <w:szCs w:val="32"/>
          <w:highlight w:val="none"/>
          <w:lang w:eastAsia="zh-CN"/>
        </w:rPr>
        <w:t>无毕业生。</w:t>
      </w:r>
    </w:p>
    <w:p w14:paraId="674B6FE0">
      <w:pPr>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硕士专业是2015年获得教育部批准的中外合作办学项目，2016年开始招生。2024年共有12名硕士研究生，</w:t>
      </w:r>
      <w:r>
        <w:rPr>
          <w:rFonts w:hint="eastAsia" w:ascii="仿宋" w:hAnsi="仿宋" w:eastAsia="仿宋" w:cs="仿宋"/>
          <w:color w:val="auto"/>
          <w:sz w:val="32"/>
          <w:szCs w:val="32"/>
          <w:highlight w:val="none"/>
          <w:lang w:val="en-US" w:eastAsia="zh-CN"/>
        </w:rPr>
        <w:t>全部通过论文答辩，</w:t>
      </w:r>
      <w:r>
        <w:rPr>
          <w:rFonts w:hint="eastAsia" w:ascii="仿宋" w:hAnsi="仿宋" w:eastAsia="仿宋" w:cs="仿宋"/>
          <w:color w:val="auto"/>
          <w:sz w:val="32"/>
          <w:szCs w:val="32"/>
          <w:highlight w:val="none"/>
          <w:lang w:eastAsia="zh-CN"/>
        </w:rPr>
        <w:t>获得圣光机大学硕士学位，</w:t>
      </w:r>
      <w:r>
        <w:rPr>
          <w:rFonts w:hint="eastAsia" w:ascii="仿宋" w:hAnsi="仿宋" w:eastAsia="仿宋" w:cs="仿宋"/>
          <w:color w:val="auto"/>
          <w:sz w:val="32"/>
          <w:szCs w:val="32"/>
          <w:highlight w:val="none"/>
          <w:lang w:val="en-US" w:eastAsia="zh-CN"/>
        </w:rPr>
        <w:t>其中，5名同学考取国内外高校攻读博士学位，其他7名同学全部就业。</w:t>
      </w:r>
    </w:p>
    <w:p w14:paraId="5CE052EC">
      <w:pPr>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博士专业于2024年首次开始招生，</w:t>
      </w:r>
      <w:r>
        <w:rPr>
          <w:rFonts w:hint="eastAsia" w:ascii="仿宋" w:hAnsi="仿宋" w:eastAsia="仿宋" w:cs="仿宋"/>
          <w:color w:val="auto"/>
          <w:sz w:val="32"/>
          <w:szCs w:val="32"/>
          <w:highlight w:val="none"/>
          <w:lang w:val="en-US" w:eastAsia="zh-CN"/>
        </w:rPr>
        <w:t>中俄两校</w:t>
      </w:r>
      <w:r>
        <w:rPr>
          <w:rFonts w:hint="eastAsia" w:ascii="仿宋" w:hAnsi="仿宋" w:eastAsia="仿宋" w:cs="仿宋"/>
          <w:color w:val="auto"/>
          <w:sz w:val="32"/>
          <w:szCs w:val="32"/>
          <w:highlight w:val="none"/>
          <w:lang w:eastAsia="zh-CN"/>
        </w:rPr>
        <w:t>采取中俄双导师制，面向国家光电产业发展和吉林省光电企业需求，在</w:t>
      </w:r>
      <w:r>
        <w:rPr>
          <w:rFonts w:hint="eastAsia" w:ascii="仿宋" w:hAnsi="仿宋" w:eastAsia="仿宋" w:cs="仿宋"/>
          <w:color w:val="auto"/>
          <w:sz w:val="32"/>
          <w:szCs w:val="32"/>
          <w:highlight w:val="none"/>
          <w:lang w:val="en-US" w:eastAsia="zh-CN"/>
        </w:rPr>
        <w:t>光学、</w:t>
      </w:r>
      <w:r>
        <w:rPr>
          <w:rFonts w:hint="eastAsia" w:ascii="仿宋" w:hAnsi="仿宋" w:eastAsia="仿宋" w:cs="仿宋"/>
          <w:color w:val="auto"/>
          <w:sz w:val="32"/>
          <w:szCs w:val="32"/>
          <w:highlight w:val="none"/>
          <w:lang w:eastAsia="zh-CN"/>
        </w:rPr>
        <w:t>凝聚态物理、激光物理、光学材料等方向整合科研团队与企业资源，确定博士研究方向。</w:t>
      </w:r>
    </w:p>
    <w:p w14:paraId="63A56B73">
      <w:pPr>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五</w:t>
      </w:r>
      <w:r>
        <w:rPr>
          <w:rFonts w:hint="eastAsia" w:ascii="仿宋" w:hAnsi="仿宋" w:eastAsia="仿宋" w:cs="仿宋"/>
          <w:b w:val="0"/>
          <w:bCs w:val="0"/>
          <w:color w:val="auto"/>
          <w:sz w:val="32"/>
          <w:szCs w:val="32"/>
          <w:highlight w:val="none"/>
          <w:lang w:eastAsia="zh-CN"/>
        </w:rPr>
        <w:t>）学生规模和师资队伍情况</w:t>
      </w:r>
    </w:p>
    <w:p w14:paraId="58FFA247">
      <w:pPr>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2024年</w:t>
      </w:r>
      <w:r>
        <w:rPr>
          <w:rFonts w:hint="eastAsia" w:ascii="仿宋" w:hAnsi="仿宋" w:eastAsia="仿宋" w:cs="仿宋"/>
          <w:color w:val="auto"/>
          <w:sz w:val="32"/>
          <w:szCs w:val="32"/>
          <w:highlight w:val="none"/>
          <w:lang w:eastAsia="zh-CN"/>
        </w:rPr>
        <w:t>学院在校生567人（本科生523人、硕士研究生40人、博士研究生4人），中方管理人员12人，俄方管理人员8人。2024年来华授课教师</w:t>
      </w:r>
      <w:r>
        <w:rPr>
          <w:rFonts w:hint="eastAsia" w:ascii="仿宋" w:hAnsi="仿宋" w:eastAsia="仿宋" w:cs="仿宋"/>
          <w:color w:val="auto"/>
          <w:sz w:val="32"/>
          <w:szCs w:val="32"/>
          <w:highlight w:val="none"/>
          <w:lang w:val="en-US" w:eastAsia="zh-CN"/>
        </w:rPr>
        <w:t>52</w:t>
      </w:r>
      <w:r>
        <w:rPr>
          <w:rFonts w:hint="eastAsia" w:ascii="仿宋" w:hAnsi="仿宋" w:eastAsia="仿宋" w:cs="仿宋"/>
          <w:color w:val="auto"/>
          <w:sz w:val="32"/>
          <w:szCs w:val="32"/>
          <w:highlight w:val="none"/>
          <w:lang w:eastAsia="zh-CN"/>
        </w:rPr>
        <w:t>人。</w:t>
      </w:r>
    </w:p>
    <w:p w14:paraId="3B5D6269">
      <w:pPr>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学院师资队伍由长春理工大学和圣光机大学相关专业教师构成。圣光机大学严格按照协议和章程选派来华授课教师，设定严格准入标准，全方位确保师资质量。在学术背景与专业能力上，派出教师均具有博士学位，深耕光学工程、激光技术等俄方优势学科，且具备良好协作意识，能深度参与学院教学</w:t>
      </w:r>
      <w:r>
        <w:rPr>
          <w:rFonts w:hint="eastAsia" w:ascii="仿宋" w:hAnsi="仿宋" w:eastAsia="仿宋" w:cs="仿宋"/>
          <w:color w:val="auto"/>
          <w:sz w:val="32"/>
          <w:szCs w:val="32"/>
          <w:highlight w:val="none"/>
          <w:lang w:val="en-US" w:eastAsia="zh-CN"/>
        </w:rPr>
        <w:t>和学术活动</w:t>
      </w:r>
      <w:r>
        <w:rPr>
          <w:rFonts w:hint="eastAsia" w:ascii="仿宋" w:hAnsi="仿宋" w:eastAsia="仿宋" w:cs="仿宋"/>
          <w:color w:val="auto"/>
          <w:sz w:val="32"/>
          <w:szCs w:val="32"/>
          <w:highlight w:val="none"/>
          <w:lang w:eastAsia="zh-CN"/>
        </w:rPr>
        <w:t>；在教学态度与效果上，教师秉持高度敬业精神，精心设计教学环节，联合中方团队搭建学生学习帮扶机制，例如，激光技术专业伊莉娜老师凭借丰富海外授课经验，打造优质课堂，显著提升</w:t>
      </w:r>
      <w:r>
        <w:rPr>
          <w:rFonts w:hint="eastAsia" w:ascii="仿宋" w:hAnsi="仿宋" w:eastAsia="仿宋" w:cs="仿宋"/>
          <w:color w:val="auto"/>
          <w:sz w:val="32"/>
          <w:szCs w:val="32"/>
          <w:highlight w:val="none"/>
          <w:lang w:val="en-US" w:eastAsia="zh-CN"/>
        </w:rPr>
        <w:t>了</w:t>
      </w:r>
      <w:r>
        <w:rPr>
          <w:rFonts w:hint="eastAsia" w:ascii="仿宋" w:hAnsi="仿宋" w:eastAsia="仿宋" w:cs="仿宋"/>
          <w:color w:val="auto"/>
          <w:sz w:val="32"/>
          <w:szCs w:val="32"/>
          <w:highlight w:val="none"/>
          <w:lang w:eastAsia="zh-CN"/>
        </w:rPr>
        <w:t>学生综合能力；在语言能力与科研素养上，</w:t>
      </w:r>
      <w:r>
        <w:rPr>
          <w:rFonts w:hint="eastAsia" w:ascii="仿宋" w:hAnsi="仿宋" w:eastAsia="仿宋" w:cs="仿宋"/>
          <w:color w:val="auto"/>
          <w:sz w:val="32"/>
          <w:szCs w:val="32"/>
          <w:highlight w:val="none"/>
          <w:lang w:val="en-US" w:eastAsia="zh-CN"/>
        </w:rPr>
        <w:t>俄方</w:t>
      </w:r>
      <w:r>
        <w:rPr>
          <w:rFonts w:hint="eastAsia" w:ascii="仿宋" w:hAnsi="仿宋" w:eastAsia="仿宋" w:cs="仿宋"/>
          <w:color w:val="auto"/>
          <w:sz w:val="32"/>
          <w:szCs w:val="32"/>
          <w:highlight w:val="none"/>
          <w:lang w:eastAsia="zh-CN"/>
        </w:rPr>
        <w:t>教师均通过</w:t>
      </w:r>
      <w:r>
        <w:rPr>
          <w:rFonts w:hint="eastAsia" w:ascii="仿宋" w:hAnsi="仿宋" w:eastAsia="仿宋" w:cs="仿宋"/>
          <w:color w:val="auto"/>
          <w:sz w:val="32"/>
          <w:szCs w:val="32"/>
          <w:highlight w:val="none"/>
          <w:lang w:val="en-US" w:eastAsia="zh-CN"/>
        </w:rPr>
        <w:t>圣光机大学</w:t>
      </w:r>
      <w:r>
        <w:rPr>
          <w:rFonts w:hint="eastAsia" w:ascii="仿宋" w:hAnsi="仿宋" w:eastAsia="仿宋" w:cs="仿宋"/>
          <w:color w:val="auto"/>
          <w:sz w:val="32"/>
          <w:szCs w:val="32"/>
          <w:highlight w:val="none"/>
          <w:lang w:eastAsia="zh-CN"/>
        </w:rPr>
        <w:t>统一英语培训，</w:t>
      </w:r>
      <w:r>
        <w:rPr>
          <w:rFonts w:hint="eastAsia" w:ascii="仿宋" w:hAnsi="仿宋" w:eastAsia="仿宋" w:cs="仿宋"/>
          <w:color w:val="auto"/>
          <w:sz w:val="32"/>
          <w:szCs w:val="32"/>
          <w:highlight w:val="none"/>
          <w:lang w:val="en-US" w:eastAsia="zh-CN"/>
        </w:rPr>
        <w:t>能够</w:t>
      </w:r>
      <w:r>
        <w:rPr>
          <w:rFonts w:hint="eastAsia" w:ascii="仿宋" w:hAnsi="仿宋" w:eastAsia="仿宋" w:cs="仿宋"/>
          <w:color w:val="auto"/>
          <w:sz w:val="32"/>
          <w:szCs w:val="32"/>
          <w:highlight w:val="none"/>
          <w:lang w:eastAsia="zh-CN"/>
        </w:rPr>
        <w:t>高效</w:t>
      </w:r>
      <w:r>
        <w:rPr>
          <w:rFonts w:hint="eastAsia" w:ascii="仿宋" w:hAnsi="仿宋" w:eastAsia="仿宋" w:cs="仿宋"/>
          <w:color w:val="auto"/>
          <w:sz w:val="32"/>
          <w:szCs w:val="32"/>
          <w:highlight w:val="none"/>
          <w:lang w:val="en-US" w:eastAsia="zh-CN"/>
        </w:rPr>
        <w:t>开展</w:t>
      </w:r>
      <w:r>
        <w:rPr>
          <w:rFonts w:hint="eastAsia" w:ascii="仿宋" w:hAnsi="仿宋" w:eastAsia="仿宋" w:cs="仿宋"/>
          <w:color w:val="auto"/>
          <w:sz w:val="32"/>
          <w:szCs w:val="32"/>
          <w:highlight w:val="none"/>
          <w:lang w:eastAsia="zh-CN"/>
        </w:rPr>
        <w:t>跨文化教学，</w:t>
      </w:r>
      <w:r>
        <w:rPr>
          <w:rFonts w:hint="eastAsia" w:ascii="仿宋" w:hAnsi="仿宋" w:eastAsia="仿宋" w:cs="仿宋"/>
          <w:color w:val="auto"/>
          <w:sz w:val="32"/>
          <w:szCs w:val="32"/>
          <w:highlight w:val="none"/>
          <w:lang w:val="en-US" w:eastAsia="zh-CN"/>
        </w:rPr>
        <w:t>他们还具有</w:t>
      </w:r>
      <w:r>
        <w:rPr>
          <w:rFonts w:hint="eastAsia" w:ascii="仿宋" w:hAnsi="仿宋" w:eastAsia="仿宋" w:cs="仿宋"/>
          <w:color w:val="auto"/>
          <w:sz w:val="32"/>
          <w:szCs w:val="32"/>
          <w:highlight w:val="none"/>
          <w:lang w:eastAsia="zh-CN"/>
        </w:rPr>
        <w:t>丰富</w:t>
      </w:r>
      <w:r>
        <w:rPr>
          <w:rFonts w:hint="eastAsia" w:ascii="仿宋" w:hAnsi="仿宋" w:eastAsia="仿宋" w:cs="仿宋"/>
          <w:color w:val="auto"/>
          <w:sz w:val="32"/>
          <w:szCs w:val="32"/>
          <w:highlight w:val="none"/>
          <w:lang w:val="en-US" w:eastAsia="zh-CN"/>
        </w:rPr>
        <w:t>的国际</w:t>
      </w:r>
      <w:r>
        <w:rPr>
          <w:rFonts w:hint="eastAsia" w:ascii="仿宋" w:hAnsi="仿宋" w:eastAsia="仿宋" w:cs="仿宋"/>
          <w:color w:val="auto"/>
          <w:sz w:val="32"/>
          <w:szCs w:val="32"/>
          <w:highlight w:val="none"/>
          <w:lang w:eastAsia="zh-CN"/>
        </w:rPr>
        <w:t>科研</w:t>
      </w:r>
      <w:r>
        <w:rPr>
          <w:rFonts w:hint="eastAsia" w:ascii="仿宋" w:hAnsi="仿宋" w:eastAsia="仿宋" w:cs="仿宋"/>
          <w:color w:val="auto"/>
          <w:sz w:val="32"/>
          <w:szCs w:val="32"/>
          <w:highlight w:val="none"/>
          <w:lang w:val="en-US" w:eastAsia="zh-CN"/>
        </w:rPr>
        <w:t>合作</w:t>
      </w:r>
      <w:r>
        <w:rPr>
          <w:rFonts w:hint="eastAsia" w:ascii="仿宋" w:hAnsi="仿宋" w:eastAsia="仿宋" w:cs="仿宋"/>
          <w:color w:val="auto"/>
          <w:sz w:val="32"/>
          <w:szCs w:val="32"/>
          <w:highlight w:val="none"/>
          <w:lang w:eastAsia="zh-CN"/>
        </w:rPr>
        <w:t>经验，例如，俄方副院长罗曼诺夫教授，</w:t>
      </w:r>
      <w:r>
        <w:rPr>
          <w:rFonts w:hint="eastAsia" w:ascii="仿宋" w:hAnsi="仿宋" w:eastAsia="仿宋" w:cs="仿宋"/>
          <w:color w:val="auto"/>
          <w:sz w:val="32"/>
          <w:szCs w:val="32"/>
          <w:highlight w:val="none"/>
          <w:lang w:val="en-US" w:eastAsia="zh-CN"/>
        </w:rPr>
        <w:t>有着在美国、德国高校讲学和从事科研工作经验，作为俄方副院长，具体负责硕士和博士的招生、教学和科研工作，</w:t>
      </w:r>
      <w:r>
        <w:rPr>
          <w:rFonts w:hint="eastAsia" w:ascii="仿宋" w:hAnsi="仿宋" w:eastAsia="仿宋" w:cs="仿宋"/>
          <w:color w:val="auto"/>
          <w:sz w:val="32"/>
          <w:szCs w:val="32"/>
          <w:highlight w:val="none"/>
          <w:lang w:eastAsia="zh-CN"/>
        </w:rPr>
        <w:t>为学院研究生培养和学科建设提供强力支撑。</w:t>
      </w:r>
    </w:p>
    <w:p w14:paraId="3A3A432E">
      <w:pPr>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学院中方专业课教师主要来自学校光电工程学院、物理学院，专业水平突出、</w:t>
      </w:r>
      <w:r>
        <w:rPr>
          <w:rFonts w:hint="eastAsia" w:ascii="仿宋" w:hAnsi="仿宋" w:eastAsia="仿宋" w:cs="仿宋"/>
          <w:color w:val="auto"/>
          <w:sz w:val="32"/>
          <w:szCs w:val="32"/>
          <w:highlight w:val="none"/>
          <w:lang w:val="en-US" w:eastAsia="zh-CN"/>
        </w:rPr>
        <w:t>科研实力深厚</w:t>
      </w:r>
      <w:r>
        <w:rPr>
          <w:rFonts w:hint="eastAsia" w:ascii="仿宋" w:hAnsi="仿宋" w:eastAsia="仿宋" w:cs="仿宋"/>
          <w:color w:val="auto"/>
          <w:sz w:val="32"/>
          <w:szCs w:val="32"/>
          <w:highlight w:val="none"/>
          <w:lang w:eastAsia="zh-CN"/>
        </w:rPr>
        <w:t>，其中45%教师拥有海外留学背景。为保障教学衔接与质量，学院出台《长春理工大学圣光机大学联合学院师资管理及教学质量考核办法》，为俄方教师配备教学助理；同时鼓励中俄教师联合开展教学研究、申报课题及发表论文。2024年</w:t>
      </w:r>
      <w:r>
        <w:rPr>
          <w:rFonts w:hint="eastAsia" w:ascii="仿宋" w:hAnsi="仿宋" w:eastAsia="仿宋" w:cs="仿宋"/>
          <w:color w:val="auto"/>
          <w:sz w:val="32"/>
          <w:szCs w:val="32"/>
          <w:highlight w:val="none"/>
          <w:lang w:val="en-US" w:eastAsia="zh-CN"/>
        </w:rPr>
        <w:t>中俄两校</w:t>
      </w:r>
      <w:r>
        <w:rPr>
          <w:rFonts w:hint="eastAsia" w:ascii="仿宋" w:hAnsi="仿宋" w:eastAsia="仿宋" w:cs="仿宋"/>
          <w:color w:val="auto"/>
          <w:sz w:val="32"/>
          <w:szCs w:val="32"/>
          <w:highlight w:val="none"/>
          <w:lang w:eastAsia="zh-CN"/>
        </w:rPr>
        <w:t>持续强化师资培训，</w:t>
      </w:r>
      <w:r>
        <w:rPr>
          <w:rFonts w:hint="eastAsia" w:ascii="仿宋" w:hAnsi="仿宋" w:eastAsia="仿宋" w:cs="仿宋"/>
          <w:color w:val="auto"/>
          <w:sz w:val="32"/>
          <w:szCs w:val="32"/>
          <w:highlight w:val="none"/>
          <w:lang w:val="en-US" w:eastAsia="zh-CN"/>
        </w:rPr>
        <w:t>圣光机大学共有18</w:t>
      </w:r>
      <w:r>
        <w:rPr>
          <w:rFonts w:hint="eastAsia" w:ascii="仿宋" w:hAnsi="仿宋" w:eastAsia="仿宋" w:cs="仿宋"/>
          <w:color w:val="auto"/>
          <w:sz w:val="32"/>
          <w:szCs w:val="32"/>
          <w:highlight w:val="none"/>
          <w:lang w:eastAsia="zh-CN"/>
        </w:rPr>
        <w:t>名教师在俄罗斯参加各类业务培训；</w:t>
      </w:r>
      <w:r>
        <w:rPr>
          <w:rFonts w:hint="eastAsia" w:ascii="仿宋" w:hAnsi="仿宋" w:eastAsia="仿宋" w:cs="仿宋"/>
          <w:color w:val="auto"/>
          <w:sz w:val="32"/>
          <w:szCs w:val="32"/>
          <w:highlight w:val="none"/>
          <w:lang w:val="en-US" w:eastAsia="zh-CN"/>
        </w:rPr>
        <w:t>长春理工大学</w:t>
      </w:r>
      <w:r>
        <w:rPr>
          <w:rFonts w:hint="eastAsia" w:ascii="仿宋" w:hAnsi="仿宋" w:eastAsia="仿宋" w:cs="仿宋"/>
          <w:color w:val="auto"/>
          <w:sz w:val="32"/>
          <w:szCs w:val="32"/>
          <w:highlight w:val="none"/>
          <w:lang w:eastAsia="zh-CN"/>
        </w:rPr>
        <w:t>共有8名教师参</w:t>
      </w:r>
      <w:r>
        <w:rPr>
          <w:rFonts w:hint="eastAsia" w:ascii="仿宋" w:hAnsi="仿宋" w:eastAsia="仿宋" w:cs="仿宋"/>
          <w:color w:val="auto"/>
          <w:sz w:val="32"/>
          <w:szCs w:val="32"/>
          <w:highlight w:val="none"/>
          <w:lang w:val="en-US" w:eastAsia="zh-CN"/>
        </w:rPr>
        <w:t>加学校组织的</w:t>
      </w:r>
      <w:r>
        <w:rPr>
          <w:rFonts w:hint="eastAsia" w:ascii="仿宋" w:hAnsi="仿宋" w:eastAsia="仿宋" w:cs="仿宋"/>
          <w:color w:val="auto"/>
          <w:sz w:val="32"/>
          <w:szCs w:val="32"/>
          <w:highlight w:val="none"/>
          <w:lang w:eastAsia="zh-CN"/>
        </w:rPr>
        <w:t>各类业务培训，2名青年教师赴圣光机大学研修，</w:t>
      </w:r>
      <w:r>
        <w:rPr>
          <w:rFonts w:hint="eastAsia" w:ascii="仿宋" w:hAnsi="仿宋" w:eastAsia="仿宋" w:cs="仿宋"/>
          <w:color w:val="auto"/>
          <w:sz w:val="32"/>
          <w:szCs w:val="32"/>
          <w:highlight w:val="none"/>
          <w:lang w:val="en-US" w:eastAsia="zh-CN"/>
        </w:rPr>
        <w:t>13</w:t>
      </w:r>
      <w:r>
        <w:rPr>
          <w:rFonts w:hint="eastAsia" w:ascii="仿宋" w:hAnsi="仿宋" w:eastAsia="仿宋" w:cs="仿宋"/>
          <w:color w:val="auto"/>
          <w:sz w:val="32"/>
          <w:szCs w:val="32"/>
          <w:highlight w:val="none"/>
          <w:lang w:eastAsia="zh-CN"/>
        </w:rPr>
        <w:t>名教师参加国际学术会议。经双方教师</w:t>
      </w:r>
      <w:r>
        <w:rPr>
          <w:rFonts w:hint="eastAsia" w:ascii="仿宋" w:hAnsi="仿宋" w:eastAsia="仿宋" w:cs="仿宋"/>
          <w:color w:val="auto"/>
          <w:sz w:val="32"/>
          <w:szCs w:val="32"/>
          <w:highlight w:val="none"/>
          <w:lang w:val="en-US" w:eastAsia="zh-CN"/>
        </w:rPr>
        <w:t>共同努力</w:t>
      </w:r>
      <w:r>
        <w:rPr>
          <w:rFonts w:hint="eastAsia" w:ascii="仿宋" w:hAnsi="仿宋" w:eastAsia="仿宋" w:cs="仿宋"/>
          <w:color w:val="auto"/>
          <w:sz w:val="32"/>
          <w:szCs w:val="32"/>
          <w:highlight w:val="none"/>
          <w:lang w:eastAsia="zh-CN"/>
        </w:rPr>
        <w:t>，学院教学质量显著提升，各项教学任务</w:t>
      </w:r>
      <w:r>
        <w:rPr>
          <w:rFonts w:hint="eastAsia" w:ascii="仿宋" w:hAnsi="仿宋" w:eastAsia="仿宋" w:cs="仿宋"/>
          <w:color w:val="auto"/>
          <w:sz w:val="32"/>
          <w:szCs w:val="32"/>
          <w:highlight w:val="none"/>
          <w:lang w:val="en-US" w:eastAsia="zh-CN"/>
        </w:rPr>
        <w:t>均</w:t>
      </w:r>
      <w:r>
        <w:rPr>
          <w:rFonts w:hint="eastAsia" w:ascii="仿宋" w:hAnsi="仿宋" w:eastAsia="仿宋" w:cs="仿宋"/>
          <w:color w:val="auto"/>
          <w:sz w:val="32"/>
          <w:szCs w:val="32"/>
          <w:highlight w:val="none"/>
          <w:lang w:eastAsia="zh-CN"/>
        </w:rPr>
        <w:t>圆满完成。</w:t>
      </w:r>
    </w:p>
    <w:p w14:paraId="7465CECE">
      <w:pPr>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六</w:t>
      </w:r>
      <w:r>
        <w:rPr>
          <w:rFonts w:hint="eastAsia" w:ascii="仿宋" w:hAnsi="仿宋" w:eastAsia="仿宋" w:cs="仿宋"/>
          <w:b w:val="0"/>
          <w:bCs w:val="0"/>
          <w:color w:val="auto"/>
          <w:sz w:val="32"/>
          <w:szCs w:val="32"/>
          <w:highlight w:val="none"/>
          <w:lang w:eastAsia="zh-CN"/>
        </w:rPr>
        <w:t>）延期变更和参加评估情况</w:t>
      </w:r>
    </w:p>
    <w:p w14:paraId="07378DBE">
      <w:pPr>
        <w:pStyle w:val="9"/>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2024年，学院未发起任何延期申请，也无相关事项变更记录；</w:t>
      </w:r>
    </w:p>
    <w:p w14:paraId="7AA26146">
      <w:pPr>
        <w:pStyle w:val="9"/>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在</w:t>
      </w:r>
      <w:r>
        <w:rPr>
          <w:rFonts w:hint="eastAsia" w:ascii="仿宋" w:hAnsi="仿宋" w:eastAsia="仿宋" w:cs="仿宋"/>
          <w:color w:val="auto"/>
          <w:sz w:val="32"/>
          <w:szCs w:val="32"/>
          <w:highlight w:val="none"/>
          <w:lang w:eastAsia="zh-CN"/>
        </w:rPr>
        <w:t>评估</w:t>
      </w:r>
      <w:r>
        <w:rPr>
          <w:rFonts w:hint="eastAsia" w:ascii="仿宋" w:hAnsi="仿宋" w:eastAsia="仿宋" w:cs="仿宋"/>
          <w:color w:val="auto"/>
          <w:sz w:val="32"/>
          <w:szCs w:val="32"/>
          <w:highlight w:val="none"/>
          <w:lang w:val="en-US" w:eastAsia="zh-CN"/>
        </w:rPr>
        <w:t>方面，学院参加了我校</w:t>
      </w:r>
      <w:r>
        <w:rPr>
          <w:rFonts w:hint="eastAsia" w:ascii="仿宋" w:hAnsi="仿宋" w:eastAsia="仿宋" w:cs="仿宋"/>
          <w:color w:val="auto"/>
          <w:sz w:val="32"/>
          <w:szCs w:val="32"/>
          <w:highlight w:val="none"/>
          <w:lang w:eastAsia="zh-CN"/>
        </w:rPr>
        <w:t>教育部新一轮本科教育教学审核评估工作。</w:t>
      </w:r>
      <w:r>
        <w:rPr>
          <w:rFonts w:hint="eastAsia" w:ascii="仿宋" w:hAnsi="仿宋" w:eastAsia="仿宋" w:cs="仿宋"/>
          <w:color w:val="auto"/>
          <w:sz w:val="32"/>
          <w:szCs w:val="32"/>
          <w:highlight w:val="none"/>
          <w:lang w:val="en-US" w:eastAsia="zh-CN"/>
        </w:rPr>
        <w:t>学院</w:t>
      </w:r>
      <w:r>
        <w:rPr>
          <w:rFonts w:hint="eastAsia" w:ascii="仿宋" w:hAnsi="仿宋" w:eastAsia="仿宋" w:cs="仿宋"/>
          <w:color w:val="auto"/>
          <w:sz w:val="32"/>
          <w:szCs w:val="32"/>
          <w:highlight w:val="none"/>
          <w:lang w:eastAsia="zh-CN"/>
        </w:rPr>
        <w:t>未接</w:t>
      </w:r>
      <w:r>
        <w:rPr>
          <w:rFonts w:hint="eastAsia" w:ascii="仿宋" w:hAnsi="仿宋" w:eastAsia="仿宋" w:cs="仿宋"/>
          <w:color w:val="auto"/>
          <w:sz w:val="32"/>
          <w:szCs w:val="32"/>
          <w:highlight w:val="none"/>
          <w:lang w:val="en-US" w:eastAsia="zh-CN"/>
        </w:rPr>
        <w:t>到</w:t>
      </w:r>
      <w:r>
        <w:rPr>
          <w:rFonts w:hint="eastAsia" w:ascii="仿宋" w:hAnsi="仿宋" w:eastAsia="仿宋" w:cs="仿宋"/>
          <w:color w:val="auto"/>
          <w:sz w:val="32"/>
          <w:szCs w:val="32"/>
          <w:highlight w:val="none"/>
          <w:lang w:eastAsia="zh-CN"/>
        </w:rPr>
        <w:t>上级主管部门</w:t>
      </w:r>
      <w:r>
        <w:rPr>
          <w:rFonts w:hint="eastAsia" w:ascii="仿宋" w:hAnsi="仿宋" w:eastAsia="仿宋" w:cs="仿宋"/>
          <w:color w:val="auto"/>
          <w:sz w:val="32"/>
          <w:szCs w:val="32"/>
          <w:highlight w:val="none"/>
          <w:lang w:val="en-US" w:eastAsia="zh-CN"/>
        </w:rPr>
        <w:t>及中外合作办学</w:t>
      </w:r>
      <w:r>
        <w:rPr>
          <w:rFonts w:hint="eastAsia" w:ascii="仿宋" w:hAnsi="仿宋" w:eastAsia="仿宋" w:cs="仿宋"/>
          <w:color w:val="auto"/>
          <w:sz w:val="32"/>
          <w:szCs w:val="32"/>
          <w:highlight w:val="none"/>
          <w:lang w:eastAsia="zh-CN"/>
        </w:rPr>
        <w:t>专业评估机构的评估通知，亦未主动申报各类专项评估，</w:t>
      </w:r>
      <w:r>
        <w:rPr>
          <w:rFonts w:hint="eastAsia" w:ascii="仿宋" w:hAnsi="仿宋" w:eastAsia="仿宋" w:cs="仿宋"/>
          <w:color w:val="auto"/>
          <w:sz w:val="32"/>
          <w:szCs w:val="32"/>
          <w:highlight w:val="none"/>
          <w:lang w:val="en-US" w:eastAsia="zh-CN"/>
        </w:rPr>
        <w:t>故</w:t>
      </w:r>
      <w:r>
        <w:rPr>
          <w:rFonts w:hint="eastAsia" w:ascii="仿宋" w:hAnsi="仿宋" w:eastAsia="仿宋" w:cs="仿宋"/>
          <w:color w:val="auto"/>
          <w:sz w:val="32"/>
          <w:szCs w:val="32"/>
          <w:highlight w:val="none"/>
          <w:lang w:eastAsia="zh-CN"/>
        </w:rPr>
        <w:t>无评估参与经历及结果。</w:t>
      </w:r>
    </w:p>
    <w:p w14:paraId="234C23F4">
      <w:pPr>
        <w:widowControl w:val="0"/>
        <w:kinsoku/>
        <w:wordWrap w:val="0"/>
        <w:topLinePunct/>
        <w:autoSpaceDE/>
        <w:autoSpaceDN/>
        <w:spacing w:line="500" w:lineRule="exact"/>
        <w:ind w:firstLine="623"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b/>
          <w:bCs/>
          <w:color w:val="auto"/>
          <w:spacing w:val="-5"/>
          <w:sz w:val="32"/>
          <w:szCs w:val="32"/>
          <w:highlight w:val="none"/>
          <w:lang w:eastAsia="zh-CN"/>
        </w:rPr>
        <w:t>二、教育教学工作情况</w:t>
      </w:r>
    </w:p>
    <w:p w14:paraId="19E1EE99">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本学年，学院围绕立德树人根本任务，严格执行两校协议和章程中规定的责任和义务，认真按照联合培养方案扎实推进教育教学各项工作。</w:t>
      </w:r>
    </w:p>
    <w:p w14:paraId="141B1FF6">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一</w:t>
      </w:r>
      <w:r>
        <w:rPr>
          <w:rFonts w:hint="eastAsia" w:ascii="仿宋" w:hAnsi="仿宋" w:eastAsia="仿宋" w:cs="仿宋"/>
          <w:b w:val="0"/>
          <w:bCs w:val="0"/>
          <w:color w:val="auto"/>
          <w:sz w:val="32"/>
          <w:szCs w:val="32"/>
          <w:highlight w:val="none"/>
          <w:lang w:eastAsia="zh-CN"/>
        </w:rPr>
        <w:t>）课程设置</w:t>
      </w:r>
    </w:p>
    <w:p w14:paraId="3DB56C42">
      <w:pPr>
        <w:pStyle w:val="2"/>
        <w:widowControl w:val="0"/>
        <w:numPr>
          <w:ilvl w:val="0"/>
          <w:numId w:val="0"/>
        </w:numPr>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学院课程体系严格遵循“四个三分之一”优质资源引进原则，确保高质量人才培养。实际开设课程总门数245门，中方开设课程门数121门，引进外方课程门数124门；外方教师担负专业核心课程的门数占全部课程门数比例50.6%，外方教师担负专业核心课程教学时数占全部教学时数比例65.3%，引进外方课程占全部课程比例50.6%，引进的外方专业核心课程占专业核心课程比例88.5%。</w:t>
      </w:r>
    </w:p>
    <w:p w14:paraId="351D4113">
      <w:pPr>
        <w:pStyle w:val="2"/>
        <w:widowControl w:val="0"/>
        <w:numPr>
          <w:ilvl w:val="0"/>
          <w:numId w:val="0"/>
        </w:numPr>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lang w:eastAsia="zh-CN"/>
        </w:rPr>
        <w:t>引进外方课程与全部课程的占比</w:t>
      </w:r>
    </w:p>
    <w:p w14:paraId="54135F9D">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电子科学与技术”专业和“测控技术与仪器”专业课程总数均为71门，其中俄方课程各37门，外方课程占比均为52.1%；“应用物理学”专业课程总数为72门，其中引进俄方课程38门，外方课程占比52.7%。“光学工程硕士专业”共计23门课程，其中引进外方课程8门，占比35%；“光学博士专业”共计8门课程，引进俄方课程4门，外方课程占全部课程的50%。</w:t>
      </w:r>
    </w:p>
    <w:p w14:paraId="6CBC6637">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引进核心课程与全部核心课程占比</w:t>
      </w:r>
    </w:p>
    <w:p w14:paraId="758B81FB">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“电子科学与技术”</w:t>
      </w:r>
      <w:r>
        <w:rPr>
          <w:rFonts w:hint="eastAsia" w:ascii="仿宋" w:hAnsi="仿宋" w:eastAsia="仿宋" w:cs="仿宋"/>
          <w:color w:val="auto"/>
          <w:sz w:val="32"/>
          <w:szCs w:val="32"/>
          <w:highlight w:val="none"/>
          <w:lang w:val="en-US" w:eastAsia="zh-CN"/>
        </w:rPr>
        <w:t>专业和</w:t>
      </w:r>
      <w:r>
        <w:rPr>
          <w:rFonts w:hint="eastAsia" w:ascii="仿宋" w:hAnsi="仿宋" w:eastAsia="仿宋" w:cs="仿宋"/>
          <w:color w:val="auto"/>
          <w:sz w:val="32"/>
          <w:szCs w:val="32"/>
          <w:highlight w:val="none"/>
          <w:lang w:eastAsia="zh-CN"/>
        </w:rPr>
        <w:t>“测控技术与仪器”</w:t>
      </w:r>
      <w:r>
        <w:rPr>
          <w:rFonts w:hint="eastAsia" w:ascii="仿宋" w:hAnsi="仿宋" w:eastAsia="仿宋" w:cs="仿宋"/>
          <w:color w:val="auto"/>
          <w:sz w:val="32"/>
          <w:szCs w:val="32"/>
          <w:highlight w:val="none"/>
          <w:lang w:val="en-US" w:eastAsia="zh-CN"/>
        </w:rPr>
        <w:t>专业的</w:t>
      </w:r>
      <w:r>
        <w:rPr>
          <w:rFonts w:hint="eastAsia" w:ascii="仿宋" w:hAnsi="仿宋" w:eastAsia="仿宋" w:cs="仿宋"/>
          <w:color w:val="auto"/>
          <w:sz w:val="32"/>
          <w:szCs w:val="32"/>
          <w:highlight w:val="none"/>
          <w:lang w:eastAsia="zh-CN"/>
        </w:rPr>
        <w:t>核心课程均39门，其中俄方课程37门，外方课程占比均为95%；“应用物理学”专业核心课程40门，俄方课程38门，外方核心课程占比95%。“光学工程硕士”专业核心课程数18，</w:t>
      </w:r>
      <w:r>
        <w:rPr>
          <w:rFonts w:hint="eastAsia" w:ascii="仿宋" w:hAnsi="仿宋" w:eastAsia="仿宋" w:cs="仿宋"/>
          <w:color w:val="auto"/>
          <w:sz w:val="32"/>
          <w:szCs w:val="32"/>
          <w:highlight w:val="none"/>
          <w:lang w:val="en-US" w:eastAsia="zh-CN"/>
        </w:rPr>
        <w:t>其中俄方</w:t>
      </w:r>
      <w:r>
        <w:rPr>
          <w:rFonts w:hint="eastAsia" w:ascii="仿宋" w:hAnsi="仿宋" w:eastAsia="仿宋" w:cs="仿宋"/>
          <w:color w:val="auto"/>
          <w:sz w:val="32"/>
          <w:szCs w:val="32"/>
          <w:highlight w:val="none"/>
          <w:lang w:eastAsia="zh-CN"/>
        </w:rPr>
        <w:t>核心课程8门课程，外方课程占比均为</w:t>
      </w:r>
      <w:r>
        <w:rPr>
          <w:rFonts w:hint="eastAsia" w:ascii="仿宋" w:hAnsi="仿宋" w:eastAsia="仿宋" w:cs="仿宋"/>
          <w:color w:val="auto"/>
          <w:sz w:val="32"/>
          <w:szCs w:val="32"/>
          <w:highlight w:val="none"/>
          <w:lang w:val="en-US" w:eastAsia="zh-CN"/>
        </w:rPr>
        <w:t>44</w:t>
      </w:r>
      <w:r>
        <w:rPr>
          <w:rFonts w:hint="eastAsia" w:ascii="仿宋" w:hAnsi="仿宋" w:eastAsia="仿宋" w:cs="仿宋"/>
          <w:color w:val="auto"/>
          <w:sz w:val="32"/>
          <w:szCs w:val="32"/>
          <w:highlight w:val="none"/>
          <w:lang w:eastAsia="zh-CN"/>
        </w:rPr>
        <w:t>%；“光学博士”专业核心课程3门，</w:t>
      </w:r>
      <w:r>
        <w:rPr>
          <w:rFonts w:hint="eastAsia" w:ascii="仿宋" w:hAnsi="仿宋" w:eastAsia="仿宋" w:cs="仿宋"/>
          <w:color w:val="auto"/>
          <w:sz w:val="32"/>
          <w:szCs w:val="32"/>
          <w:highlight w:val="none"/>
          <w:lang w:val="en-US" w:eastAsia="zh-CN"/>
        </w:rPr>
        <w:t>其中俄方</w:t>
      </w:r>
      <w:r>
        <w:rPr>
          <w:rFonts w:hint="eastAsia" w:ascii="仿宋" w:hAnsi="仿宋" w:eastAsia="仿宋" w:cs="仿宋"/>
          <w:color w:val="auto"/>
          <w:sz w:val="32"/>
          <w:szCs w:val="32"/>
          <w:highlight w:val="none"/>
          <w:lang w:eastAsia="zh-CN"/>
        </w:rPr>
        <w:t>核心课程3门课程，外方课程占比均为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lang w:eastAsia="zh-CN"/>
        </w:rPr>
        <w:t>%。</w:t>
      </w:r>
    </w:p>
    <w:p w14:paraId="4929F039">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lang w:eastAsia="zh-CN"/>
        </w:rPr>
        <w:t>俄方教师承担专业核心课程门数与全部课程门数占比</w:t>
      </w:r>
    </w:p>
    <w:p w14:paraId="25275773">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“电子科学与技术”专业</w:t>
      </w:r>
      <w:r>
        <w:rPr>
          <w:rFonts w:hint="eastAsia" w:ascii="仿宋" w:hAnsi="仿宋" w:eastAsia="仿宋" w:cs="仿宋"/>
          <w:color w:val="auto"/>
          <w:sz w:val="32"/>
          <w:szCs w:val="32"/>
          <w:highlight w:val="none"/>
          <w:lang w:val="en-US" w:eastAsia="zh-CN"/>
        </w:rPr>
        <w:t>和</w:t>
      </w:r>
      <w:r>
        <w:rPr>
          <w:rFonts w:hint="eastAsia" w:ascii="仿宋" w:hAnsi="仿宋" w:eastAsia="仿宋" w:cs="仿宋"/>
          <w:color w:val="auto"/>
          <w:sz w:val="32"/>
          <w:szCs w:val="32"/>
          <w:highlight w:val="none"/>
          <w:lang w:eastAsia="zh-CN"/>
        </w:rPr>
        <w:t>“测控技术与仪器”专业总课程数均为71门，</w:t>
      </w:r>
      <w:r>
        <w:rPr>
          <w:rFonts w:hint="eastAsia" w:ascii="仿宋" w:hAnsi="仿宋" w:eastAsia="仿宋" w:cs="仿宋"/>
          <w:color w:val="auto"/>
          <w:sz w:val="32"/>
          <w:szCs w:val="32"/>
          <w:highlight w:val="none"/>
          <w:lang w:val="en-US" w:eastAsia="zh-CN"/>
        </w:rPr>
        <w:t>其中</w:t>
      </w:r>
      <w:r>
        <w:rPr>
          <w:rFonts w:hint="eastAsia" w:ascii="仿宋" w:hAnsi="仿宋" w:eastAsia="仿宋" w:cs="仿宋"/>
          <w:color w:val="auto"/>
          <w:sz w:val="32"/>
          <w:szCs w:val="32"/>
          <w:highlight w:val="none"/>
          <w:lang w:eastAsia="zh-CN"/>
        </w:rPr>
        <w:t>俄方教师</w:t>
      </w:r>
      <w:r>
        <w:rPr>
          <w:rFonts w:hint="eastAsia" w:ascii="仿宋" w:hAnsi="仿宋" w:eastAsia="仿宋" w:cs="仿宋"/>
          <w:color w:val="auto"/>
          <w:sz w:val="32"/>
          <w:szCs w:val="32"/>
          <w:highlight w:val="none"/>
          <w:lang w:val="en-US" w:eastAsia="zh-CN"/>
        </w:rPr>
        <w:t>承担</w:t>
      </w:r>
      <w:r>
        <w:rPr>
          <w:rFonts w:hint="eastAsia" w:ascii="仿宋" w:hAnsi="仿宋" w:eastAsia="仿宋" w:cs="仿宋"/>
          <w:color w:val="auto"/>
          <w:sz w:val="32"/>
          <w:szCs w:val="32"/>
          <w:highlight w:val="none"/>
          <w:lang w:eastAsia="zh-CN"/>
        </w:rPr>
        <w:t>核心课程</w:t>
      </w:r>
      <w:r>
        <w:rPr>
          <w:rFonts w:hint="eastAsia" w:ascii="仿宋" w:hAnsi="仿宋" w:eastAsia="仿宋" w:cs="仿宋"/>
          <w:color w:val="auto"/>
          <w:sz w:val="32"/>
          <w:szCs w:val="32"/>
          <w:highlight w:val="none"/>
          <w:lang w:val="en-US" w:eastAsia="zh-CN"/>
        </w:rPr>
        <w:t>各</w:t>
      </w:r>
      <w:r>
        <w:rPr>
          <w:rFonts w:hint="eastAsia" w:ascii="仿宋" w:hAnsi="仿宋" w:eastAsia="仿宋" w:cs="仿宋"/>
          <w:color w:val="auto"/>
          <w:sz w:val="32"/>
          <w:szCs w:val="32"/>
          <w:highlight w:val="none"/>
          <w:lang w:eastAsia="zh-CN"/>
        </w:rPr>
        <w:t>37门，外方课程占比均为</w:t>
      </w:r>
      <w:r>
        <w:rPr>
          <w:rFonts w:hint="eastAsia" w:ascii="仿宋" w:hAnsi="仿宋" w:eastAsia="仿宋" w:cs="仿宋"/>
          <w:color w:val="auto"/>
          <w:sz w:val="32"/>
          <w:szCs w:val="32"/>
          <w:highlight w:val="none"/>
          <w:lang w:val="en-US" w:eastAsia="zh-CN"/>
        </w:rPr>
        <w:t>52</w:t>
      </w:r>
      <w:r>
        <w:rPr>
          <w:rFonts w:hint="eastAsia" w:ascii="仿宋" w:hAnsi="仿宋" w:eastAsia="仿宋" w:cs="仿宋"/>
          <w:color w:val="auto"/>
          <w:sz w:val="32"/>
          <w:szCs w:val="32"/>
          <w:highlight w:val="none"/>
          <w:lang w:eastAsia="zh-CN"/>
        </w:rPr>
        <w:t>%；“应用物理学</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eastAsia="zh-CN"/>
        </w:rPr>
        <w:t>专业课程总数为72门，俄方教师</w:t>
      </w:r>
      <w:r>
        <w:rPr>
          <w:rFonts w:hint="eastAsia" w:ascii="仿宋" w:hAnsi="仿宋" w:eastAsia="仿宋" w:cs="仿宋"/>
          <w:color w:val="auto"/>
          <w:sz w:val="32"/>
          <w:szCs w:val="32"/>
          <w:highlight w:val="none"/>
          <w:lang w:val="en-US" w:eastAsia="zh-CN"/>
        </w:rPr>
        <w:t>承担</w:t>
      </w:r>
      <w:r>
        <w:rPr>
          <w:rFonts w:hint="eastAsia" w:ascii="仿宋" w:hAnsi="仿宋" w:eastAsia="仿宋" w:cs="仿宋"/>
          <w:color w:val="auto"/>
          <w:sz w:val="32"/>
          <w:szCs w:val="32"/>
          <w:highlight w:val="none"/>
          <w:lang w:eastAsia="zh-CN"/>
        </w:rPr>
        <w:t>核心课程数38门，外方课程占比为</w:t>
      </w:r>
      <w:r>
        <w:rPr>
          <w:rFonts w:hint="eastAsia" w:ascii="仿宋" w:hAnsi="仿宋" w:eastAsia="仿宋" w:cs="仿宋"/>
          <w:color w:val="auto"/>
          <w:sz w:val="32"/>
          <w:szCs w:val="32"/>
          <w:highlight w:val="none"/>
          <w:lang w:val="en-US" w:eastAsia="zh-CN"/>
        </w:rPr>
        <w:t>52</w:t>
      </w:r>
      <w:r>
        <w:rPr>
          <w:rFonts w:hint="eastAsia" w:ascii="仿宋" w:hAnsi="仿宋" w:eastAsia="仿宋" w:cs="仿宋"/>
          <w:color w:val="auto"/>
          <w:sz w:val="32"/>
          <w:szCs w:val="32"/>
          <w:highlight w:val="none"/>
          <w:lang w:eastAsia="zh-CN"/>
        </w:rPr>
        <w:t>%；“光学工程硕士”专业课程数23</w:t>
      </w:r>
      <w:r>
        <w:rPr>
          <w:rFonts w:hint="eastAsia" w:ascii="仿宋" w:hAnsi="仿宋" w:eastAsia="仿宋" w:cs="仿宋"/>
          <w:color w:val="auto"/>
          <w:sz w:val="32"/>
          <w:szCs w:val="32"/>
          <w:highlight w:val="none"/>
          <w:lang w:val="en-US" w:eastAsia="zh-CN"/>
        </w:rPr>
        <w:t>门</w:t>
      </w:r>
      <w:r>
        <w:rPr>
          <w:rFonts w:hint="eastAsia" w:ascii="仿宋" w:hAnsi="仿宋" w:eastAsia="仿宋" w:cs="仿宋"/>
          <w:color w:val="auto"/>
          <w:sz w:val="32"/>
          <w:szCs w:val="32"/>
          <w:highlight w:val="none"/>
          <w:lang w:eastAsia="zh-CN"/>
        </w:rPr>
        <w:t>，俄方教师</w:t>
      </w:r>
      <w:r>
        <w:rPr>
          <w:rFonts w:hint="eastAsia" w:ascii="仿宋" w:hAnsi="仿宋" w:eastAsia="仿宋" w:cs="仿宋"/>
          <w:color w:val="auto"/>
          <w:sz w:val="32"/>
          <w:szCs w:val="32"/>
          <w:highlight w:val="none"/>
          <w:lang w:val="en-US" w:eastAsia="zh-CN"/>
        </w:rPr>
        <w:t>承担</w:t>
      </w:r>
      <w:r>
        <w:rPr>
          <w:rFonts w:hint="eastAsia" w:ascii="仿宋" w:hAnsi="仿宋" w:eastAsia="仿宋" w:cs="仿宋"/>
          <w:color w:val="auto"/>
          <w:sz w:val="32"/>
          <w:szCs w:val="32"/>
          <w:highlight w:val="none"/>
          <w:lang w:eastAsia="zh-CN"/>
        </w:rPr>
        <w:t>核心课程8门，外方课程占比为</w:t>
      </w:r>
      <w:r>
        <w:rPr>
          <w:rFonts w:hint="eastAsia" w:ascii="仿宋" w:hAnsi="仿宋" w:eastAsia="仿宋" w:cs="仿宋"/>
          <w:color w:val="auto"/>
          <w:sz w:val="32"/>
          <w:szCs w:val="32"/>
          <w:highlight w:val="none"/>
          <w:lang w:val="en-US" w:eastAsia="zh-CN"/>
        </w:rPr>
        <w:t>35</w:t>
      </w:r>
      <w:r>
        <w:rPr>
          <w:rFonts w:hint="eastAsia" w:ascii="仿宋" w:hAnsi="仿宋" w:eastAsia="仿宋" w:cs="仿宋"/>
          <w:color w:val="auto"/>
          <w:sz w:val="32"/>
          <w:szCs w:val="32"/>
          <w:highlight w:val="none"/>
          <w:lang w:eastAsia="zh-CN"/>
        </w:rPr>
        <w:t>%；“光学博士”专业总课程8门，俄方教师</w:t>
      </w:r>
      <w:r>
        <w:rPr>
          <w:rFonts w:hint="eastAsia" w:ascii="仿宋" w:hAnsi="仿宋" w:eastAsia="仿宋" w:cs="仿宋"/>
          <w:color w:val="auto"/>
          <w:sz w:val="32"/>
          <w:szCs w:val="32"/>
          <w:highlight w:val="none"/>
          <w:lang w:val="en-US" w:eastAsia="zh-CN"/>
        </w:rPr>
        <w:t>承担</w:t>
      </w:r>
      <w:r>
        <w:rPr>
          <w:rFonts w:hint="eastAsia" w:ascii="仿宋" w:hAnsi="仿宋" w:eastAsia="仿宋" w:cs="仿宋"/>
          <w:color w:val="auto"/>
          <w:sz w:val="32"/>
          <w:szCs w:val="32"/>
          <w:highlight w:val="none"/>
          <w:lang w:eastAsia="zh-CN"/>
        </w:rPr>
        <w:t>核心课程</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lang w:eastAsia="zh-CN"/>
        </w:rPr>
        <w:t>门，外方课程占比为</w:t>
      </w:r>
      <w:r>
        <w:rPr>
          <w:rFonts w:hint="eastAsia" w:ascii="仿宋" w:hAnsi="仿宋" w:eastAsia="仿宋" w:cs="仿宋"/>
          <w:color w:val="auto"/>
          <w:sz w:val="32"/>
          <w:szCs w:val="32"/>
          <w:highlight w:val="none"/>
          <w:lang w:val="en-US" w:eastAsia="zh-CN"/>
        </w:rPr>
        <w:t>37</w:t>
      </w:r>
      <w:r>
        <w:rPr>
          <w:rFonts w:hint="eastAsia" w:ascii="仿宋" w:hAnsi="仿宋" w:eastAsia="仿宋" w:cs="仿宋"/>
          <w:color w:val="auto"/>
          <w:sz w:val="32"/>
          <w:szCs w:val="32"/>
          <w:highlight w:val="none"/>
          <w:lang w:eastAsia="zh-CN"/>
        </w:rPr>
        <w:t>%。所有俄方课程</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lang w:eastAsia="zh-CN"/>
        </w:rPr>
        <w:t>教学任务（包括理论授课、实验指导、毕业设计/论文指导等）均由</w:t>
      </w:r>
      <w:r>
        <w:rPr>
          <w:rFonts w:hint="eastAsia" w:ascii="仿宋" w:hAnsi="仿宋" w:eastAsia="仿宋" w:cs="仿宋"/>
          <w:color w:val="auto"/>
          <w:sz w:val="32"/>
          <w:szCs w:val="32"/>
          <w:highlight w:val="none"/>
          <w:lang w:val="en-US" w:eastAsia="zh-CN"/>
        </w:rPr>
        <w:t>圣光机大学</w:t>
      </w:r>
      <w:r>
        <w:rPr>
          <w:rFonts w:hint="eastAsia" w:ascii="仿宋" w:hAnsi="仿宋" w:eastAsia="仿宋" w:cs="仿宋"/>
          <w:color w:val="auto"/>
          <w:sz w:val="32"/>
          <w:szCs w:val="32"/>
          <w:highlight w:val="none"/>
          <w:lang w:eastAsia="zh-CN"/>
        </w:rPr>
        <w:t>直接选派的专职教师承担。</w:t>
      </w:r>
    </w:p>
    <w:p w14:paraId="49C55567">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lang w:eastAsia="zh-CN"/>
        </w:rPr>
        <w:t>俄方教师</w:t>
      </w:r>
      <w:r>
        <w:rPr>
          <w:rFonts w:hint="eastAsia" w:ascii="仿宋" w:hAnsi="仿宋" w:eastAsia="仿宋" w:cs="仿宋"/>
          <w:color w:val="auto"/>
          <w:sz w:val="32"/>
          <w:szCs w:val="32"/>
          <w:highlight w:val="none"/>
          <w:lang w:val="en-US" w:eastAsia="zh-CN"/>
        </w:rPr>
        <w:t>承担</w:t>
      </w:r>
      <w:r>
        <w:rPr>
          <w:rFonts w:hint="eastAsia" w:ascii="仿宋" w:hAnsi="仿宋" w:eastAsia="仿宋" w:cs="仿宋"/>
          <w:color w:val="auto"/>
          <w:sz w:val="32"/>
          <w:szCs w:val="32"/>
          <w:highlight w:val="none"/>
          <w:lang w:eastAsia="zh-CN"/>
        </w:rPr>
        <w:t>专业核心课程学时数与全部教学时数占比：</w:t>
      </w:r>
    </w:p>
    <w:p w14:paraId="06C896AA">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学院本硕博</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lang w:eastAsia="zh-CN"/>
        </w:rPr>
        <w:t>个专业，俄方教师</w:t>
      </w:r>
      <w:r>
        <w:rPr>
          <w:rFonts w:hint="eastAsia" w:ascii="仿宋" w:hAnsi="仿宋" w:eastAsia="仿宋" w:cs="仿宋"/>
          <w:color w:val="auto"/>
          <w:sz w:val="32"/>
          <w:szCs w:val="32"/>
          <w:highlight w:val="none"/>
          <w:lang w:val="en-US" w:eastAsia="zh-CN"/>
        </w:rPr>
        <w:t>承担</w:t>
      </w:r>
      <w:r>
        <w:rPr>
          <w:rFonts w:hint="eastAsia" w:ascii="仿宋" w:hAnsi="仿宋" w:eastAsia="仿宋" w:cs="仿宋"/>
          <w:color w:val="auto"/>
          <w:sz w:val="32"/>
          <w:szCs w:val="32"/>
          <w:highlight w:val="none"/>
          <w:lang w:eastAsia="zh-CN"/>
        </w:rPr>
        <w:t>专业核心课程学时数与全部教学时数占比</w:t>
      </w:r>
      <w:r>
        <w:rPr>
          <w:rFonts w:hint="eastAsia" w:ascii="仿宋" w:hAnsi="仿宋" w:eastAsia="仿宋" w:cs="仿宋"/>
          <w:color w:val="auto"/>
          <w:sz w:val="32"/>
          <w:szCs w:val="32"/>
          <w:highlight w:val="none"/>
          <w:lang w:val="en-US" w:eastAsia="zh-CN"/>
        </w:rPr>
        <w:t>为：“</w:t>
      </w:r>
      <w:r>
        <w:rPr>
          <w:rFonts w:hint="eastAsia" w:ascii="仿宋" w:hAnsi="仿宋" w:eastAsia="仿宋" w:cs="仿宋"/>
          <w:color w:val="auto"/>
          <w:sz w:val="32"/>
          <w:szCs w:val="32"/>
          <w:highlight w:val="none"/>
          <w:lang w:eastAsia="zh-CN"/>
        </w:rPr>
        <w:t>电子科学与技术”专业为1760/2515，“测控技术与仪器”专业为1760/2595，“应用物理学”专业为1824/2595；“光学工程硕士”专业为352/928，“光学博士”专业为96/240，均大于三分之一，符合要求。</w:t>
      </w:r>
    </w:p>
    <w:p w14:paraId="65F73EEE">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学院</w:t>
      </w:r>
      <w:r>
        <w:rPr>
          <w:rFonts w:hint="eastAsia" w:ascii="仿宋" w:hAnsi="仿宋" w:eastAsia="仿宋" w:cs="仿宋"/>
          <w:color w:val="auto"/>
          <w:sz w:val="32"/>
          <w:szCs w:val="32"/>
          <w:highlight w:val="none"/>
          <w:lang w:eastAsia="zh-CN"/>
        </w:rPr>
        <w:t>课程设置注重中俄优势互补，夯实数理基础与专业核心，促进知识融合与教学</w:t>
      </w:r>
      <w:r>
        <w:rPr>
          <w:rFonts w:hint="eastAsia" w:ascii="仿宋" w:hAnsi="仿宋" w:eastAsia="仿宋" w:cs="仿宋"/>
          <w:color w:val="auto"/>
          <w:sz w:val="32"/>
          <w:szCs w:val="32"/>
          <w:highlight w:val="none"/>
          <w:lang w:val="en-US" w:eastAsia="zh-CN"/>
        </w:rPr>
        <w:t>方</w:t>
      </w:r>
      <w:r>
        <w:rPr>
          <w:rFonts w:hint="eastAsia" w:ascii="仿宋" w:hAnsi="仿宋" w:eastAsia="仿宋" w:cs="仿宋"/>
          <w:color w:val="auto"/>
          <w:sz w:val="32"/>
          <w:szCs w:val="32"/>
          <w:highlight w:val="none"/>
          <w:lang w:eastAsia="zh-CN"/>
        </w:rPr>
        <w:t>法交流。</w:t>
      </w:r>
      <w:r>
        <w:rPr>
          <w:rFonts w:hint="eastAsia" w:ascii="仿宋" w:hAnsi="仿宋" w:eastAsia="仿宋" w:cs="仿宋"/>
          <w:color w:val="auto"/>
          <w:sz w:val="32"/>
          <w:szCs w:val="32"/>
          <w:highlight w:val="none"/>
          <w:lang w:val="en-US" w:eastAsia="zh-CN"/>
        </w:rPr>
        <w:t>课程</w:t>
      </w:r>
      <w:r>
        <w:rPr>
          <w:rFonts w:hint="eastAsia" w:ascii="仿宋" w:hAnsi="仿宋" w:eastAsia="仿宋" w:cs="仿宋"/>
          <w:color w:val="auto"/>
          <w:sz w:val="32"/>
          <w:szCs w:val="32"/>
          <w:highlight w:val="none"/>
          <w:lang w:eastAsia="zh-CN"/>
        </w:rPr>
        <w:t>涵盖关键学科领域，着力将俄方在相关领域的先进知识体系与研究方法系统性地植入培养过程。</w:t>
      </w:r>
    </w:p>
    <w:p w14:paraId="43C65DB1">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二</w:t>
      </w:r>
      <w:r>
        <w:rPr>
          <w:rFonts w:hint="eastAsia" w:ascii="仿宋" w:hAnsi="仿宋" w:eastAsia="仿宋" w:cs="仿宋"/>
          <w:b w:val="0"/>
          <w:bCs w:val="0"/>
          <w:color w:val="auto"/>
          <w:sz w:val="32"/>
          <w:szCs w:val="32"/>
          <w:highlight w:val="none"/>
          <w:lang w:eastAsia="zh-CN"/>
        </w:rPr>
        <w:t>）师资配备</w:t>
      </w:r>
    </w:p>
    <w:p w14:paraId="26A72C66">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学院已初步形成了一支由中方教师和俄方教师组成的国际化师资队伍。</w:t>
      </w:r>
    </w:p>
    <w:p w14:paraId="60AB3A30">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lang w:eastAsia="zh-CN"/>
        </w:rPr>
        <w:t>中外方教师整体水平：中方专业教师</w:t>
      </w:r>
      <w:r>
        <w:rPr>
          <w:rFonts w:hint="eastAsia" w:ascii="仿宋" w:hAnsi="仿宋" w:eastAsia="仿宋" w:cs="仿宋"/>
          <w:color w:val="auto"/>
          <w:sz w:val="32"/>
          <w:szCs w:val="32"/>
          <w:highlight w:val="none"/>
          <w:lang w:val="en-US" w:eastAsia="zh-CN"/>
        </w:rPr>
        <w:t>主要来自学校光电工程学院和物理学院，</w:t>
      </w:r>
      <w:r>
        <w:rPr>
          <w:rFonts w:hint="eastAsia" w:ascii="仿宋" w:hAnsi="仿宋" w:eastAsia="仿宋" w:cs="仿宋"/>
          <w:color w:val="auto"/>
          <w:sz w:val="32"/>
          <w:szCs w:val="32"/>
          <w:highlight w:val="none"/>
          <w:lang w:eastAsia="zh-CN"/>
        </w:rPr>
        <w:t>均具有博士学位，</w:t>
      </w:r>
      <w:r>
        <w:rPr>
          <w:rFonts w:hint="eastAsia" w:ascii="仿宋" w:hAnsi="仿宋" w:eastAsia="仿宋" w:cs="仿宋"/>
          <w:color w:val="auto"/>
          <w:sz w:val="32"/>
          <w:szCs w:val="32"/>
          <w:highlight w:val="none"/>
          <w:lang w:val="en-US" w:eastAsia="zh-CN"/>
        </w:rPr>
        <w:t>理论与实践功底扎实，</w:t>
      </w:r>
      <w:r>
        <w:rPr>
          <w:rFonts w:hint="eastAsia" w:ascii="仿宋" w:hAnsi="仿宋" w:eastAsia="仿宋" w:cs="仿宋"/>
          <w:color w:val="auto"/>
          <w:sz w:val="32"/>
          <w:szCs w:val="32"/>
          <w:highlight w:val="none"/>
          <w:lang w:eastAsia="zh-CN"/>
        </w:rPr>
        <w:t>具备双语教学能力，</w:t>
      </w:r>
      <w:r>
        <w:rPr>
          <w:rFonts w:hint="eastAsia" w:ascii="仿宋" w:hAnsi="仿宋" w:eastAsia="仿宋" w:cs="仿宋"/>
          <w:color w:val="auto"/>
          <w:sz w:val="32"/>
          <w:szCs w:val="32"/>
          <w:highlight w:val="none"/>
          <w:lang w:val="en-US" w:eastAsia="zh-CN"/>
        </w:rPr>
        <w:t>多数教师具有</w:t>
      </w:r>
      <w:r>
        <w:rPr>
          <w:rFonts w:hint="eastAsia" w:ascii="仿宋" w:hAnsi="仿宋" w:eastAsia="仿宋" w:cs="仿宋"/>
          <w:color w:val="auto"/>
          <w:sz w:val="32"/>
          <w:szCs w:val="32"/>
          <w:highlight w:val="none"/>
          <w:lang w:eastAsia="zh-CN"/>
        </w:rPr>
        <w:t>海外留学或访学经历；俄方选派教师</w:t>
      </w:r>
      <w:r>
        <w:rPr>
          <w:rFonts w:hint="eastAsia" w:ascii="仿宋" w:hAnsi="仿宋" w:eastAsia="仿宋" w:cs="仿宋"/>
          <w:color w:val="auto"/>
          <w:sz w:val="32"/>
          <w:szCs w:val="32"/>
          <w:highlight w:val="none"/>
          <w:lang w:val="en-US" w:eastAsia="zh-CN"/>
        </w:rPr>
        <w:t>均是</w:t>
      </w:r>
      <w:r>
        <w:rPr>
          <w:rFonts w:hint="eastAsia" w:ascii="仿宋" w:hAnsi="仿宋" w:eastAsia="仿宋" w:cs="仿宋"/>
          <w:color w:val="auto"/>
          <w:sz w:val="32"/>
          <w:szCs w:val="32"/>
          <w:highlight w:val="none"/>
          <w:lang w:eastAsia="zh-CN"/>
        </w:rPr>
        <w:t>圣光机大学</w:t>
      </w:r>
      <w:r>
        <w:rPr>
          <w:rFonts w:hint="eastAsia" w:ascii="仿宋" w:hAnsi="仿宋" w:eastAsia="仿宋" w:cs="仿宋"/>
          <w:color w:val="auto"/>
          <w:sz w:val="32"/>
          <w:szCs w:val="32"/>
          <w:highlight w:val="none"/>
          <w:lang w:val="en-US" w:eastAsia="zh-CN"/>
        </w:rPr>
        <w:t>正式专业教师</w:t>
      </w:r>
      <w:r>
        <w:rPr>
          <w:rFonts w:hint="eastAsia" w:ascii="仿宋" w:hAnsi="仿宋" w:eastAsia="仿宋" w:cs="仿宋"/>
          <w:color w:val="auto"/>
          <w:sz w:val="32"/>
          <w:szCs w:val="32"/>
          <w:highlight w:val="none"/>
          <w:lang w:eastAsia="zh-CN"/>
        </w:rPr>
        <w:t>，具有博士学位，且教学经验丰富，</w:t>
      </w:r>
      <w:r>
        <w:rPr>
          <w:rFonts w:hint="eastAsia" w:ascii="仿宋" w:hAnsi="仿宋" w:eastAsia="仿宋" w:cs="仿宋"/>
          <w:color w:val="auto"/>
          <w:sz w:val="32"/>
          <w:szCs w:val="32"/>
          <w:highlight w:val="none"/>
          <w:lang w:val="en-US" w:eastAsia="zh-CN"/>
        </w:rPr>
        <w:t>科研水平突出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经过多年教学实践，学院形成了</w:t>
      </w:r>
      <w:r>
        <w:rPr>
          <w:rFonts w:hint="eastAsia" w:ascii="仿宋" w:hAnsi="仿宋" w:eastAsia="仿宋" w:cs="仿宋"/>
          <w:color w:val="auto"/>
          <w:sz w:val="32"/>
          <w:szCs w:val="32"/>
          <w:highlight w:val="none"/>
          <w:lang w:eastAsia="zh-CN"/>
        </w:rPr>
        <w:t>学术背景扎实、专业领域匹配度高、</w:t>
      </w:r>
      <w:r>
        <w:rPr>
          <w:rFonts w:hint="eastAsia" w:ascii="仿宋" w:hAnsi="仿宋" w:eastAsia="仿宋" w:cs="仿宋"/>
          <w:color w:val="auto"/>
          <w:sz w:val="32"/>
          <w:szCs w:val="32"/>
          <w:highlight w:val="none"/>
          <w:lang w:val="en-US" w:eastAsia="zh-CN"/>
        </w:rPr>
        <w:t>作风严谨的国际化师资团队</w:t>
      </w:r>
      <w:r>
        <w:rPr>
          <w:rFonts w:hint="eastAsia" w:ascii="仿宋" w:hAnsi="仿宋" w:eastAsia="仿宋" w:cs="仿宋"/>
          <w:color w:val="auto"/>
          <w:sz w:val="32"/>
          <w:szCs w:val="32"/>
          <w:highlight w:val="none"/>
          <w:lang w:eastAsia="zh-CN"/>
        </w:rPr>
        <w:t>。</w:t>
      </w:r>
    </w:p>
    <w:p w14:paraId="0D16AF20">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外方教师来华授课及科研指导：本学年，共有</w:t>
      </w:r>
      <w:r>
        <w:rPr>
          <w:rFonts w:hint="eastAsia" w:ascii="仿宋" w:hAnsi="仿宋" w:eastAsia="仿宋" w:cs="仿宋"/>
          <w:color w:val="auto"/>
          <w:sz w:val="32"/>
          <w:szCs w:val="32"/>
          <w:highlight w:val="none"/>
          <w:lang w:val="en-US" w:eastAsia="zh-CN"/>
        </w:rPr>
        <w:t>52名</w:t>
      </w:r>
      <w:r>
        <w:rPr>
          <w:rFonts w:hint="eastAsia" w:ascii="仿宋" w:hAnsi="仿宋" w:eastAsia="仿宋" w:cs="仿宋"/>
          <w:color w:val="auto"/>
          <w:sz w:val="32"/>
          <w:szCs w:val="32"/>
          <w:highlight w:val="none"/>
          <w:lang w:eastAsia="zh-CN"/>
        </w:rPr>
        <w:t>俄方教师来华进行授课，圆满完成了年度教学任务。在长春工作期间，俄方教师</w:t>
      </w:r>
      <w:r>
        <w:rPr>
          <w:rFonts w:hint="eastAsia" w:ascii="仿宋" w:hAnsi="仿宋" w:eastAsia="仿宋" w:cs="仿宋"/>
          <w:color w:val="auto"/>
          <w:sz w:val="32"/>
          <w:szCs w:val="32"/>
          <w:highlight w:val="none"/>
          <w:lang w:val="en-US" w:eastAsia="zh-CN"/>
        </w:rPr>
        <w:t>认真负责、严谨教学，高质量完成了教学任务；他们悉心</w:t>
      </w:r>
      <w:r>
        <w:rPr>
          <w:rFonts w:hint="eastAsia" w:ascii="仿宋" w:hAnsi="仿宋" w:eastAsia="仿宋" w:cs="仿宋"/>
          <w:color w:val="auto"/>
          <w:sz w:val="32"/>
          <w:szCs w:val="32"/>
          <w:highlight w:val="none"/>
          <w:lang w:eastAsia="zh-CN"/>
        </w:rPr>
        <w:t>指导本科生参</w:t>
      </w:r>
      <w:r>
        <w:rPr>
          <w:rFonts w:hint="eastAsia" w:ascii="仿宋" w:hAnsi="仿宋" w:eastAsia="仿宋" w:cs="仿宋"/>
          <w:color w:val="auto"/>
          <w:sz w:val="32"/>
          <w:szCs w:val="32"/>
          <w:highlight w:val="none"/>
          <w:lang w:val="en-US" w:eastAsia="zh-CN"/>
        </w:rPr>
        <w:t>与</w:t>
      </w:r>
      <w:r>
        <w:rPr>
          <w:rFonts w:hint="eastAsia" w:ascii="仿宋" w:hAnsi="仿宋" w:eastAsia="仿宋" w:cs="仿宋"/>
          <w:color w:val="auto"/>
          <w:sz w:val="32"/>
          <w:szCs w:val="32"/>
          <w:highlight w:val="none"/>
          <w:lang w:eastAsia="zh-CN"/>
        </w:rPr>
        <w:t>学科竞赛，</w:t>
      </w:r>
      <w:r>
        <w:rPr>
          <w:rFonts w:hint="eastAsia" w:ascii="仿宋" w:hAnsi="仿宋" w:eastAsia="仿宋" w:cs="仿宋"/>
          <w:color w:val="auto"/>
          <w:sz w:val="32"/>
          <w:szCs w:val="32"/>
          <w:highlight w:val="none"/>
          <w:lang w:val="en-US" w:eastAsia="zh-CN"/>
        </w:rPr>
        <w:t>精心</w:t>
      </w:r>
      <w:r>
        <w:rPr>
          <w:rFonts w:hint="eastAsia" w:ascii="仿宋" w:hAnsi="仿宋" w:eastAsia="仿宋" w:cs="仿宋"/>
          <w:color w:val="auto"/>
          <w:sz w:val="32"/>
          <w:szCs w:val="32"/>
          <w:highlight w:val="none"/>
          <w:lang w:eastAsia="zh-CN"/>
        </w:rPr>
        <w:t>指导硕士研究生</w:t>
      </w:r>
      <w:r>
        <w:rPr>
          <w:rFonts w:hint="eastAsia" w:ascii="仿宋" w:hAnsi="仿宋" w:eastAsia="仿宋" w:cs="仿宋"/>
          <w:color w:val="auto"/>
          <w:sz w:val="32"/>
          <w:szCs w:val="32"/>
          <w:highlight w:val="none"/>
          <w:lang w:val="en-US" w:eastAsia="zh-CN"/>
        </w:rPr>
        <w:t>撰写</w:t>
      </w:r>
      <w:r>
        <w:rPr>
          <w:rFonts w:hint="eastAsia" w:ascii="仿宋" w:hAnsi="仿宋" w:eastAsia="仿宋" w:cs="仿宋"/>
          <w:color w:val="auto"/>
          <w:sz w:val="32"/>
          <w:szCs w:val="32"/>
          <w:highlight w:val="none"/>
          <w:lang w:eastAsia="zh-CN"/>
        </w:rPr>
        <w:t>毕业论文，</w:t>
      </w:r>
      <w:r>
        <w:rPr>
          <w:rFonts w:hint="eastAsia" w:ascii="仿宋" w:hAnsi="仿宋" w:eastAsia="仿宋" w:cs="仿宋"/>
          <w:color w:val="auto"/>
          <w:sz w:val="32"/>
          <w:szCs w:val="32"/>
          <w:highlight w:val="none"/>
          <w:lang w:val="en-US" w:eastAsia="zh-CN"/>
        </w:rPr>
        <w:t>并</w:t>
      </w:r>
      <w:r>
        <w:rPr>
          <w:rFonts w:hint="eastAsia" w:ascii="仿宋" w:hAnsi="仿宋" w:eastAsia="仿宋" w:cs="仿宋"/>
          <w:color w:val="auto"/>
          <w:sz w:val="32"/>
          <w:szCs w:val="32"/>
          <w:highlight w:val="none"/>
          <w:lang w:eastAsia="zh-CN"/>
        </w:rPr>
        <w:t>与中方导师共同开展博士研究生招生</w:t>
      </w:r>
      <w:r>
        <w:rPr>
          <w:rFonts w:hint="eastAsia" w:ascii="仿宋" w:hAnsi="仿宋" w:eastAsia="仿宋" w:cs="仿宋"/>
          <w:color w:val="auto"/>
          <w:sz w:val="32"/>
          <w:szCs w:val="32"/>
          <w:highlight w:val="none"/>
          <w:lang w:val="en-US" w:eastAsia="zh-CN"/>
        </w:rPr>
        <w:t>与</w:t>
      </w:r>
      <w:r>
        <w:rPr>
          <w:rFonts w:hint="eastAsia" w:ascii="仿宋" w:hAnsi="仿宋" w:eastAsia="仿宋" w:cs="仿宋"/>
          <w:color w:val="auto"/>
          <w:sz w:val="32"/>
          <w:szCs w:val="32"/>
          <w:highlight w:val="none"/>
          <w:lang w:eastAsia="zh-CN"/>
        </w:rPr>
        <w:t>入学考试工作；积极</w:t>
      </w:r>
      <w:r>
        <w:rPr>
          <w:rFonts w:hint="eastAsia" w:ascii="仿宋" w:hAnsi="仿宋" w:eastAsia="仿宋" w:cs="仿宋"/>
          <w:color w:val="auto"/>
          <w:sz w:val="32"/>
          <w:szCs w:val="32"/>
          <w:highlight w:val="none"/>
          <w:lang w:val="en-US" w:eastAsia="zh-CN"/>
        </w:rPr>
        <w:t>与相关学院开展深入的</w:t>
      </w:r>
      <w:r>
        <w:rPr>
          <w:rFonts w:hint="eastAsia" w:ascii="仿宋" w:hAnsi="仿宋" w:eastAsia="仿宋" w:cs="仿宋"/>
          <w:color w:val="auto"/>
          <w:sz w:val="32"/>
          <w:szCs w:val="32"/>
          <w:highlight w:val="none"/>
          <w:lang w:eastAsia="zh-CN"/>
        </w:rPr>
        <w:t>学术交流，</w:t>
      </w:r>
      <w:r>
        <w:rPr>
          <w:rFonts w:hint="eastAsia" w:ascii="仿宋" w:hAnsi="仿宋" w:eastAsia="仿宋" w:cs="仿宋"/>
          <w:color w:val="auto"/>
          <w:sz w:val="32"/>
          <w:szCs w:val="32"/>
          <w:highlight w:val="none"/>
          <w:lang w:val="en-US" w:eastAsia="zh-CN"/>
        </w:rPr>
        <w:t>共同</w:t>
      </w:r>
      <w:r>
        <w:rPr>
          <w:rFonts w:hint="eastAsia" w:ascii="仿宋" w:hAnsi="仿宋" w:eastAsia="仿宋" w:cs="仿宋"/>
          <w:color w:val="auto"/>
          <w:sz w:val="32"/>
          <w:szCs w:val="32"/>
          <w:highlight w:val="none"/>
          <w:lang w:eastAsia="zh-CN"/>
        </w:rPr>
        <w:t>申请科研项目、</w:t>
      </w:r>
      <w:r>
        <w:rPr>
          <w:rFonts w:hint="eastAsia" w:ascii="仿宋" w:hAnsi="仿宋" w:eastAsia="仿宋" w:cs="仿宋"/>
          <w:color w:val="auto"/>
          <w:sz w:val="32"/>
          <w:szCs w:val="32"/>
          <w:highlight w:val="none"/>
          <w:lang w:val="en-US" w:eastAsia="zh-CN"/>
        </w:rPr>
        <w:t>组织</w:t>
      </w:r>
      <w:r>
        <w:rPr>
          <w:rFonts w:hint="eastAsia" w:ascii="仿宋" w:hAnsi="仿宋" w:eastAsia="仿宋" w:cs="仿宋"/>
          <w:color w:val="auto"/>
          <w:sz w:val="32"/>
          <w:szCs w:val="32"/>
          <w:highlight w:val="none"/>
          <w:lang w:eastAsia="zh-CN"/>
        </w:rPr>
        <w:t>国际学术会议、筹建国际联合实验室。</w:t>
      </w:r>
      <w:r>
        <w:rPr>
          <w:rFonts w:hint="eastAsia" w:ascii="仿宋" w:hAnsi="仿宋" w:eastAsia="仿宋" w:cs="仿宋"/>
          <w:color w:val="auto"/>
          <w:sz w:val="32"/>
          <w:szCs w:val="32"/>
          <w:highlight w:val="none"/>
          <w:lang w:val="en-US" w:eastAsia="zh-CN"/>
        </w:rPr>
        <w:t>2024年，学院</w:t>
      </w:r>
      <w:r>
        <w:rPr>
          <w:rFonts w:hint="eastAsia" w:ascii="仿宋" w:hAnsi="仿宋" w:eastAsia="仿宋" w:cs="仿宋"/>
          <w:color w:val="auto"/>
          <w:sz w:val="32"/>
          <w:szCs w:val="32"/>
          <w:highlight w:val="none"/>
          <w:lang w:eastAsia="zh-CN"/>
        </w:rPr>
        <w:t>15名俄方专家参加了3M</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eastAsia="zh-CN"/>
        </w:rPr>
        <w:t>NANO纳米技术国际会议和2024国际产学研用国际会议，并做了学术报告。俄方院长罗曼诺夫教授与学校材料科学与工程学院蒋大勇教授成功获批国家外专局重点引智项目</w:t>
      </w:r>
      <w:r>
        <w:rPr>
          <w:rFonts w:hint="eastAsia" w:ascii="仿宋" w:hAnsi="仿宋" w:eastAsia="仿宋" w:cs="仿宋"/>
          <w:color w:val="auto"/>
          <w:sz w:val="32"/>
          <w:szCs w:val="32"/>
          <w:highlight w:val="none"/>
          <w:lang w:val="en-US" w:eastAsia="zh-CN"/>
        </w:rPr>
        <w:t>并</w:t>
      </w:r>
      <w:r>
        <w:rPr>
          <w:rFonts w:hint="eastAsia" w:ascii="仿宋" w:hAnsi="仿宋" w:eastAsia="仿宋" w:cs="仿宋"/>
          <w:color w:val="auto"/>
          <w:sz w:val="32"/>
          <w:szCs w:val="32"/>
          <w:highlight w:val="none"/>
          <w:lang w:eastAsia="zh-CN"/>
        </w:rPr>
        <w:t>获得资金支持；</w:t>
      </w:r>
      <w:r>
        <w:rPr>
          <w:rFonts w:hint="eastAsia" w:ascii="仿宋" w:hAnsi="仿宋" w:eastAsia="仿宋" w:cs="仿宋"/>
          <w:color w:val="auto"/>
          <w:sz w:val="32"/>
          <w:szCs w:val="32"/>
          <w:highlight w:val="none"/>
          <w:lang w:val="en-US" w:eastAsia="zh-CN"/>
        </w:rPr>
        <w:t>光电工程学院欧阳明钊教授和鲍曼教授、布格罗夫教授就先进光学器件、微波光子学开发研究达成意向。国际纳米操作联合研究中心主任王作斌教授和斯维特兰纳、奥尔洛娃教授就微纳光学在生物医学领域的应用开展联合研究。</w:t>
      </w:r>
    </w:p>
    <w:p w14:paraId="76DF675C">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val="en-US" w:eastAsia="zh-CN"/>
        </w:rPr>
        <w:t>（三）</w:t>
      </w:r>
      <w:r>
        <w:rPr>
          <w:rFonts w:hint="eastAsia" w:ascii="仿宋" w:hAnsi="仿宋" w:eastAsia="仿宋" w:cs="仿宋"/>
          <w:b w:val="0"/>
          <w:bCs w:val="0"/>
          <w:color w:val="auto"/>
          <w:sz w:val="32"/>
          <w:szCs w:val="32"/>
          <w:highlight w:val="none"/>
          <w:lang w:eastAsia="zh-CN"/>
        </w:rPr>
        <w:t>教学质量现状</w:t>
      </w:r>
      <w:r>
        <w:rPr>
          <w:rFonts w:hint="eastAsia" w:ascii="仿宋" w:hAnsi="仿宋" w:eastAsia="仿宋" w:cs="仿宋"/>
          <w:b w:val="0"/>
          <w:bCs w:val="0"/>
          <w:color w:val="auto"/>
          <w:sz w:val="32"/>
          <w:szCs w:val="32"/>
          <w:highlight w:val="none"/>
          <w:lang w:val="en-US" w:eastAsia="zh-CN"/>
        </w:rPr>
        <w:t>及质量</w:t>
      </w:r>
      <w:r>
        <w:rPr>
          <w:rFonts w:hint="eastAsia" w:ascii="仿宋" w:hAnsi="仿宋" w:eastAsia="仿宋" w:cs="仿宋"/>
          <w:b w:val="0"/>
          <w:bCs w:val="0"/>
          <w:color w:val="auto"/>
          <w:sz w:val="32"/>
          <w:szCs w:val="32"/>
          <w:highlight w:val="none"/>
          <w:lang w:eastAsia="zh-CN"/>
        </w:rPr>
        <w:t>保障</w:t>
      </w:r>
      <w:r>
        <w:rPr>
          <w:rFonts w:hint="eastAsia" w:ascii="仿宋" w:hAnsi="仿宋" w:eastAsia="仿宋" w:cs="仿宋"/>
          <w:b w:val="0"/>
          <w:bCs w:val="0"/>
          <w:color w:val="auto"/>
          <w:sz w:val="32"/>
          <w:szCs w:val="32"/>
          <w:highlight w:val="none"/>
          <w:lang w:val="en-US" w:eastAsia="zh-CN"/>
        </w:rPr>
        <w:t>监督</w:t>
      </w:r>
      <w:r>
        <w:rPr>
          <w:rFonts w:hint="eastAsia" w:ascii="仿宋" w:hAnsi="仿宋" w:eastAsia="仿宋" w:cs="仿宋"/>
          <w:b w:val="0"/>
          <w:bCs w:val="0"/>
          <w:color w:val="auto"/>
          <w:sz w:val="32"/>
          <w:szCs w:val="32"/>
          <w:highlight w:val="none"/>
          <w:lang w:eastAsia="zh-CN"/>
        </w:rPr>
        <w:t>体系</w:t>
      </w:r>
    </w:p>
    <w:p w14:paraId="4F3666C3">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中俄两校高度重视教学质量，成立联合管理团队，共同优化教学大纲，完善培养方案，选派优秀教师授课；成立教学分委员会，建立中俄教学例会制度，形成了</w:t>
      </w:r>
      <w:r>
        <w:rPr>
          <w:rFonts w:hint="eastAsia" w:ascii="仿宋" w:hAnsi="仿宋" w:eastAsia="仿宋" w:cs="仿宋"/>
          <w:color w:val="auto"/>
          <w:sz w:val="32"/>
          <w:szCs w:val="32"/>
          <w:highlight w:val="none"/>
          <w:lang w:eastAsia="zh-CN"/>
        </w:rPr>
        <w:t>内外结合、中俄协同的质量保障监督体系：</w:t>
      </w:r>
    </w:p>
    <w:p w14:paraId="2D02DB3E">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lang w:eastAsia="zh-CN"/>
        </w:rPr>
        <w:t>内部质量监控：严格执行常规教学检查（期中、期末）、院领导与督导听课制度、学生教学信息员反馈制度。学院教学分委员会定期召开教学例会，中俄教师</w:t>
      </w:r>
      <w:r>
        <w:rPr>
          <w:rFonts w:hint="eastAsia" w:ascii="仿宋" w:hAnsi="仿宋" w:eastAsia="仿宋" w:cs="仿宋"/>
          <w:color w:val="auto"/>
          <w:sz w:val="32"/>
          <w:szCs w:val="32"/>
          <w:highlight w:val="none"/>
          <w:lang w:val="en-US" w:eastAsia="zh-CN"/>
        </w:rPr>
        <w:t>通过</w:t>
      </w:r>
      <w:r>
        <w:rPr>
          <w:rFonts w:hint="eastAsia" w:ascii="仿宋" w:hAnsi="仿宋" w:eastAsia="仿宋" w:cs="仿宋"/>
          <w:color w:val="auto"/>
          <w:sz w:val="32"/>
          <w:szCs w:val="32"/>
          <w:highlight w:val="none"/>
          <w:lang w:eastAsia="zh-CN"/>
        </w:rPr>
        <w:t>及时沟通，</w:t>
      </w:r>
      <w:r>
        <w:rPr>
          <w:rFonts w:hint="eastAsia" w:ascii="仿宋" w:hAnsi="仿宋" w:eastAsia="仿宋" w:cs="仿宋"/>
          <w:color w:val="auto"/>
          <w:sz w:val="32"/>
          <w:szCs w:val="32"/>
          <w:highlight w:val="none"/>
          <w:lang w:val="en-US" w:eastAsia="zh-CN"/>
        </w:rPr>
        <w:t>共同</w:t>
      </w:r>
      <w:r>
        <w:rPr>
          <w:rFonts w:hint="eastAsia" w:ascii="仿宋" w:hAnsi="仿宋" w:eastAsia="仿宋" w:cs="仿宋"/>
          <w:color w:val="auto"/>
          <w:sz w:val="32"/>
          <w:szCs w:val="32"/>
          <w:highlight w:val="none"/>
          <w:lang w:eastAsia="zh-CN"/>
        </w:rPr>
        <w:t>解决教学过程中出现的问题。</w:t>
      </w:r>
    </w:p>
    <w:p w14:paraId="781C12B3">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外部评估与反馈：接受中俄两校定期组织的联合教学评估。学院的课程大纲、考核方式与成绩评定</w:t>
      </w:r>
      <w:r>
        <w:rPr>
          <w:rFonts w:hint="eastAsia" w:ascii="仿宋" w:hAnsi="仿宋" w:eastAsia="仿宋" w:cs="仿宋"/>
          <w:color w:val="auto"/>
          <w:sz w:val="32"/>
          <w:szCs w:val="32"/>
          <w:highlight w:val="none"/>
          <w:lang w:val="en-US" w:eastAsia="zh-CN"/>
        </w:rPr>
        <w:t>等教学要求</w:t>
      </w:r>
      <w:r>
        <w:rPr>
          <w:rFonts w:hint="eastAsia" w:ascii="仿宋" w:hAnsi="仿宋" w:eastAsia="仿宋" w:cs="仿宋"/>
          <w:color w:val="auto"/>
          <w:sz w:val="32"/>
          <w:szCs w:val="32"/>
          <w:highlight w:val="none"/>
          <w:lang w:eastAsia="zh-CN"/>
        </w:rPr>
        <w:t>需经中俄两校教学委员会审核。2024年，学校</w:t>
      </w:r>
      <w:r>
        <w:rPr>
          <w:rFonts w:hint="eastAsia" w:ascii="仿宋" w:hAnsi="仿宋" w:eastAsia="仿宋" w:cs="仿宋"/>
          <w:color w:val="auto"/>
          <w:sz w:val="32"/>
          <w:szCs w:val="32"/>
          <w:highlight w:val="none"/>
          <w:lang w:val="en-US" w:eastAsia="zh-CN"/>
        </w:rPr>
        <w:t>成功通过了</w:t>
      </w:r>
      <w:r>
        <w:rPr>
          <w:rFonts w:hint="eastAsia" w:ascii="仿宋" w:hAnsi="仿宋" w:eastAsia="仿宋" w:cs="仿宋"/>
          <w:color w:val="auto"/>
          <w:sz w:val="32"/>
          <w:szCs w:val="32"/>
          <w:highlight w:val="none"/>
          <w:lang w:eastAsia="zh-CN"/>
        </w:rPr>
        <w:t>教育部新一轮本科教育教学审核评估，评估专家对学院本科教学情况</w:t>
      </w:r>
      <w:r>
        <w:rPr>
          <w:rFonts w:hint="eastAsia" w:ascii="仿宋" w:hAnsi="仿宋" w:eastAsia="仿宋" w:cs="仿宋"/>
          <w:color w:val="auto"/>
          <w:sz w:val="32"/>
          <w:szCs w:val="32"/>
          <w:highlight w:val="none"/>
          <w:lang w:val="en-US" w:eastAsia="zh-CN"/>
        </w:rPr>
        <w:t>检查指导</w:t>
      </w:r>
      <w:r>
        <w:rPr>
          <w:rFonts w:hint="eastAsia" w:ascii="仿宋" w:hAnsi="仿宋" w:eastAsia="仿宋" w:cs="仿宋"/>
          <w:color w:val="auto"/>
          <w:sz w:val="32"/>
          <w:szCs w:val="32"/>
          <w:highlight w:val="none"/>
          <w:lang w:eastAsia="zh-CN"/>
        </w:rPr>
        <w:t>，对教学质量给予肯定。</w:t>
      </w:r>
    </w:p>
    <w:p w14:paraId="0C1064D0">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lang w:eastAsia="zh-CN"/>
        </w:rPr>
        <w:t>过程性评估与持续改进：强调对教学全过程的管理，所有引进课程均进行本土化教学效果评估。建立基于学生学习成果的课程评价机制，根据评估结果和学术发展动态，由中俄双方共同审议并修订培养方案与课程内容。</w:t>
      </w:r>
    </w:p>
    <w:p w14:paraId="7E661F2B">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eastAsia="zh-CN"/>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四</w:t>
      </w:r>
      <w:r>
        <w:rPr>
          <w:rFonts w:hint="eastAsia" w:ascii="仿宋" w:hAnsi="仿宋" w:eastAsia="仿宋" w:cs="仿宋"/>
          <w:b w:val="0"/>
          <w:bCs w:val="0"/>
          <w:color w:val="auto"/>
          <w:sz w:val="32"/>
          <w:szCs w:val="32"/>
          <w:highlight w:val="none"/>
          <w:lang w:eastAsia="zh-CN"/>
        </w:rPr>
        <w:t>）存在的薄弱环节与下步举措</w:t>
      </w:r>
    </w:p>
    <w:p w14:paraId="3E38CE86">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1.薄弱环节</w:t>
      </w:r>
    </w:p>
    <w:p w14:paraId="40079F60">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课程体系需进一步优化。部分低年级学生初期对俄方教师快节奏、重讨论、强自主性的教学模式需进一步适应；俄方专业课学时较多，并且存在部分专业知识在一门以上课程重复讲授的问题，课程体系的优化应该综合考虑专业知识的层层递进和学生学习效率。</w:t>
      </w:r>
    </w:p>
    <w:p w14:paraId="670CAC41">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双方教学理念和教学方法需要进一步融合。中俄双方教学方法侧重不同，圣光机大学教学侧重讲授法、问题教学法，精于对复杂理论的层层剖析，课堂信息密度大。</w:t>
      </w:r>
    </w:p>
    <w:p w14:paraId="71C01100">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2.下步举措</w:t>
      </w:r>
    </w:p>
    <w:p w14:paraId="7D910855">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完善课程体系，每年召开教学例会，以上一年度培养方案为基础，结合学生知识掌握程度、科技发展水平等环境因素，以知识体系连贯性为主，修改培养方案。</w:t>
      </w:r>
    </w:p>
    <w:p w14:paraId="3773DA4C">
      <w:pPr>
        <w:pStyle w:val="2"/>
        <w:widowControl w:val="0"/>
        <w:kinsoku/>
        <w:wordWrap w:val="0"/>
        <w:topLinePunct/>
        <w:autoSpaceDE/>
        <w:autoSpaceDN/>
        <w:spacing w:line="500" w:lineRule="exact"/>
        <w:ind w:firstLine="640" w:firstLineChars="200"/>
        <w:jc w:val="both"/>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协同教研与培训：亟需建立常态化的中俄教师联合教研机制。不仅是一起排课，更应共同进行课程设计、互相观摩课堂、开展教学方法研讨会，探索适合本学院的“混合式教学法”。应定期为双方教师提供跨文化教学法交流学习，统一培训。</w:t>
      </w:r>
    </w:p>
    <w:p w14:paraId="4E94D1CD">
      <w:pPr>
        <w:pStyle w:val="2"/>
        <w:widowControl w:val="0"/>
        <w:kinsoku/>
        <w:wordWrap w:val="0"/>
        <w:topLinePunct/>
        <w:autoSpaceDE/>
        <w:autoSpaceDN/>
        <w:spacing w:line="500" w:lineRule="exact"/>
        <w:jc w:val="both"/>
        <w:rPr>
          <w:rFonts w:hint="eastAsia" w:ascii="仿宋" w:hAnsi="仿宋" w:eastAsia="仿宋" w:cs="仿宋"/>
          <w:color w:val="auto"/>
          <w:sz w:val="32"/>
          <w:szCs w:val="32"/>
          <w:highlight w:val="none"/>
          <w:lang w:eastAsia="zh-CN"/>
        </w:rPr>
      </w:pPr>
      <w:r>
        <w:rPr>
          <w:rFonts w:hint="eastAsia" w:ascii="仿宋" w:hAnsi="仿宋" w:eastAsia="仿宋" w:cs="仿宋"/>
          <w:b/>
          <w:bCs/>
          <w:color w:val="auto"/>
          <w:spacing w:val="-6"/>
          <w:sz w:val="32"/>
          <w:szCs w:val="32"/>
          <w:highlight w:val="none"/>
          <w:lang w:val="en-US" w:eastAsia="zh-CN"/>
        </w:rPr>
        <w:t>三</w:t>
      </w:r>
      <w:r>
        <w:rPr>
          <w:rFonts w:hint="eastAsia" w:ascii="仿宋" w:hAnsi="仿宋" w:eastAsia="仿宋" w:cs="仿宋"/>
          <w:b/>
          <w:bCs/>
          <w:color w:val="auto"/>
          <w:spacing w:val="-6"/>
          <w:sz w:val="32"/>
          <w:szCs w:val="32"/>
          <w:highlight w:val="none"/>
          <w:lang w:eastAsia="zh-CN"/>
        </w:rPr>
        <w:t>、人才培养成效情况</w:t>
      </w:r>
    </w:p>
    <w:p w14:paraId="02DB8EC7">
      <w:pPr>
        <w:pStyle w:val="2"/>
        <w:widowControl w:val="0"/>
        <w:kinsoku/>
        <w:wordWrap w:val="0"/>
        <w:topLinePunct/>
        <w:autoSpaceDE/>
        <w:autoSpaceDN/>
        <w:spacing w:line="500" w:lineRule="exact"/>
        <w:ind w:firstLine="632" w:firstLineChars="200"/>
        <w:jc w:val="both"/>
        <w:rPr>
          <w:rFonts w:hint="eastAsia" w:ascii="仿宋" w:hAnsi="仿宋" w:eastAsia="仿宋" w:cs="仿宋"/>
          <w:color w:val="auto"/>
          <w:spacing w:val="-2"/>
          <w:sz w:val="32"/>
          <w:szCs w:val="32"/>
          <w:highlight w:val="none"/>
          <w:lang w:eastAsia="zh-CN"/>
        </w:rPr>
      </w:pPr>
      <w:r>
        <w:rPr>
          <w:rFonts w:hint="eastAsia" w:ascii="仿宋" w:hAnsi="仿宋" w:eastAsia="仿宋" w:cs="仿宋"/>
          <w:color w:val="auto"/>
          <w:spacing w:val="-2"/>
          <w:sz w:val="32"/>
          <w:szCs w:val="32"/>
          <w:highlight w:val="none"/>
          <w:lang w:val="en-US" w:eastAsia="zh-CN"/>
        </w:rPr>
        <w:t>2024年</w:t>
      </w:r>
      <w:r>
        <w:rPr>
          <w:rFonts w:hint="eastAsia" w:ascii="仿宋" w:hAnsi="仿宋" w:eastAsia="仿宋" w:cs="仿宋"/>
          <w:color w:val="auto"/>
          <w:spacing w:val="-2"/>
          <w:sz w:val="32"/>
          <w:szCs w:val="32"/>
          <w:highlight w:val="none"/>
          <w:lang w:eastAsia="zh-CN"/>
        </w:rPr>
        <w:t>学院</w:t>
      </w:r>
      <w:r>
        <w:rPr>
          <w:rFonts w:hint="eastAsia" w:ascii="仿宋" w:hAnsi="仿宋" w:eastAsia="仿宋" w:cs="仿宋"/>
          <w:color w:val="auto"/>
          <w:spacing w:val="-2"/>
          <w:sz w:val="32"/>
          <w:szCs w:val="32"/>
          <w:highlight w:val="none"/>
          <w:lang w:val="en-US" w:eastAsia="zh-CN"/>
        </w:rPr>
        <w:t>坚持立德树人，围绕</w:t>
      </w:r>
      <w:r>
        <w:rPr>
          <w:rFonts w:hint="eastAsia" w:ascii="仿宋" w:hAnsi="仿宋" w:eastAsia="仿宋" w:cs="仿宋"/>
          <w:color w:val="auto"/>
          <w:spacing w:val="-2"/>
          <w:sz w:val="32"/>
          <w:szCs w:val="32"/>
          <w:highlight w:val="none"/>
          <w:lang w:eastAsia="zh-CN"/>
        </w:rPr>
        <w:t>国际化人才培养目标，</w:t>
      </w:r>
      <w:r>
        <w:rPr>
          <w:rFonts w:hint="eastAsia" w:ascii="仿宋" w:hAnsi="仿宋" w:eastAsia="仿宋" w:cs="仿宋"/>
          <w:color w:val="auto"/>
          <w:spacing w:val="-2"/>
          <w:sz w:val="32"/>
          <w:szCs w:val="32"/>
          <w:highlight w:val="none"/>
          <w:lang w:val="en-US" w:eastAsia="zh-CN"/>
        </w:rPr>
        <w:t>不断完善人才培养体系，着力培养德、智、体、美、劳全面发展的社会主义接班人，</w:t>
      </w:r>
      <w:r>
        <w:rPr>
          <w:rFonts w:hint="eastAsia" w:ascii="仿宋" w:hAnsi="仿宋" w:eastAsia="仿宋" w:cs="仿宋"/>
          <w:color w:val="auto"/>
          <w:spacing w:val="-2"/>
          <w:sz w:val="32"/>
          <w:szCs w:val="32"/>
          <w:highlight w:val="none"/>
          <w:lang w:eastAsia="zh-CN"/>
        </w:rPr>
        <w:t>各项工作取得显著成效。</w:t>
      </w:r>
    </w:p>
    <w:p w14:paraId="2A9726D3">
      <w:pPr>
        <w:pStyle w:val="2"/>
        <w:widowControl w:val="0"/>
        <w:kinsoku/>
        <w:wordWrap w:val="0"/>
        <w:topLinePunct/>
        <w:autoSpaceDE/>
        <w:autoSpaceDN/>
        <w:spacing w:line="500" w:lineRule="exact"/>
        <w:ind w:firstLine="632" w:firstLineChars="200"/>
        <w:jc w:val="both"/>
        <w:rPr>
          <w:rFonts w:hint="eastAsia" w:ascii="仿宋" w:hAnsi="仿宋" w:eastAsia="仿宋" w:cs="仿宋"/>
          <w:b w:val="0"/>
          <w:bCs w:val="0"/>
          <w:color w:val="auto"/>
          <w:spacing w:val="-2"/>
          <w:sz w:val="32"/>
          <w:szCs w:val="32"/>
          <w:highlight w:val="none"/>
          <w:lang w:eastAsia="zh-CN"/>
        </w:rPr>
      </w:pPr>
      <w:r>
        <w:rPr>
          <w:rFonts w:hint="eastAsia" w:ascii="仿宋" w:hAnsi="仿宋" w:eastAsia="仿宋" w:cs="仿宋"/>
          <w:b w:val="0"/>
          <w:bCs w:val="0"/>
          <w:color w:val="auto"/>
          <w:spacing w:val="-2"/>
          <w:sz w:val="32"/>
          <w:szCs w:val="32"/>
          <w:highlight w:val="none"/>
          <w:lang w:eastAsia="zh-CN"/>
        </w:rPr>
        <w:t>（</w:t>
      </w:r>
      <w:r>
        <w:rPr>
          <w:rFonts w:hint="eastAsia" w:ascii="仿宋" w:hAnsi="仿宋" w:eastAsia="仿宋" w:cs="仿宋"/>
          <w:b w:val="0"/>
          <w:bCs w:val="0"/>
          <w:color w:val="auto"/>
          <w:spacing w:val="-2"/>
          <w:sz w:val="32"/>
          <w:szCs w:val="32"/>
          <w:highlight w:val="none"/>
          <w:lang w:val="en-US" w:eastAsia="zh-CN"/>
        </w:rPr>
        <w:t>一</w:t>
      </w:r>
      <w:r>
        <w:rPr>
          <w:rFonts w:hint="eastAsia" w:ascii="仿宋" w:hAnsi="仿宋" w:eastAsia="仿宋" w:cs="仿宋"/>
          <w:b w:val="0"/>
          <w:bCs w:val="0"/>
          <w:color w:val="auto"/>
          <w:spacing w:val="-2"/>
          <w:sz w:val="32"/>
          <w:szCs w:val="32"/>
          <w:highlight w:val="none"/>
          <w:lang w:eastAsia="zh-CN"/>
        </w:rPr>
        <w:t>）培养目标达成情况</w:t>
      </w:r>
    </w:p>
    <w:p w14:paraId="533CC30C">
      <w:pPr>
        <w:pStyle w:val="2"/>
        <w:widowControl w:val="0"/>
        <w:kinsoku/>
        <w:wordWrap w:val="0"/>
        <w:topLinePunct/>
        <w:autoSpaceDE/>
        <w:autoSpaceDN/>
        <w:spacing w:line="500" w:lineRule="exact"/>
        <w:ind w:firstLine="632" w:firstLineChars="200"/>
        <w:jc w:val="both"/>
        <w:rPr>
          <w:rFonts w:hint="eastAsia" w:ascii="仿宋" w:hAnsi="仿宋" w:eastAsia="仿宋" w:cs="仿宋"/>
          <w:color w:val="auto"/>
          <w:spacing w:val="-2"/>
          <w:sz w:val="32"/>
          <w:szCs w:val="32"/>
          <w:highlight w:val="none"/>
          <w:lang w:eastAsia="zh-CN"/>
        </w:rPr>
      </w:pPr>
      <w:r>
        <w:rPr>
          <w:rFonts w:hint="eastAsia" w:ascii="仿宋" w:hAnsi="仿宋" w:eastAsia="仿宋" w:cs="仿宋"/>
          <w:color w:val="auto"/>
          <w:spacing w:val="-2"/>
          <w:sz w:val="32"/>
          <w:szCs w:val="32"/>
          <w:highlight w:val="none"/>
          <w:lang w:eastAsia="zh-CN"/>
        </w:rPr>
        <w:t>学院人才培养质量不断提升。本年度，本科学生获国家级学科竞赛获奖</w:t>
      </w:r>
      <w:r>
        <w:rPr>
          <w:rFonts w:hint="eastAsia" w:ascii="仿宋" w:hAnsi="仿宋" w:eastAsia="仿宋" w:cs="仿宋"/>
          <w:color w:val="auto"/>
          <w:spacing w:val="-2"/>
          <w:sz w:val="32"/>
          <w:szCs w:val="32"/>
          <w:highlight w:val="none"/>
          <w:lang w:val="en-US" w:eastAsia="zh-CN"/>
        </w:rPr>
        <w:t>11</w:t>
      </w:r>
      <w:r>
        <w:rPr>
          <w:rFonts w:hint="eastAsia" w:ascii="仿宋" w:hAnsi="仿宋" w:eastAsia="仿宋" w:cs="仿宋"/>
          <w:color w:val="auto"/>
          <w:spacing w:val="-2"/>
          <w:sz w:val="32"/>
          <w:szCs w:val="32"/>
          <w:highlight w:val="none"/>
          <w:lang w:eastAsia="zh-CN"/>
        </w:rPr>
        <w:t>项，省部级及以上学科竞赛获奖</w:t>
      </w:r>
      <w:r>
        <w:rPr>
          <w:rFonts w:hint="eastAsia" w:ascii="仿宋" w:hAnsi="仿宋" w:eastAsia="仿宋" w:cs="仿宋"/>
          <w:color w:val="auto"/>
          <w:spacing w:val="-2"/>
          <w:sz w:val="32"/>
          <w:szCs w:val="32"/>
          <w:highlight w:val="none"/>
          <w:lang w:val="en-US" w:eastAsia="zh-CN"/>
        </w:rPr>
        <w:t>19</w:t>
      </w:r>
      <w:r>
        <w:rPr>
          <w:rFonts w:hint="eastAsia" w:ascii="仿宋" w:hAnsi="仿宋" w:eastAsia="仿宋" w:cs="仿宋"/>
          <w:color w:val="auto"/>
          <w:spacing w:val="-2"/>
          <w:sz w:val="32"/>
          <w:szCs w:val="32"/>
          <w:highlight w:val="none"/>
          <w:lang w:eastAsia="zh-CN"/>
        </w:rPr>
        <w:t>项，</w:t>
      </w:r>
      <w:r>
        <w:rPr>
          <w:rFonts w:hint="eastAsia" w:ascii="仿宋" w:hAnsi="仿宋" w:eastAsia="仿宋" w:cs="仿宋"/>
          <w:color w:val="auto"/>
          <w:spacing w:val="-2"/>
          <w:sz w:val="32"/>
          <w:szCs w:val="32"/>
          <w:highlight w:val="none"/>
          <w:lang w:val="en-US" w:eastAsia="zh-CN"/>
        </w:rPr>
        <w:t>发表SCI论文1篇，申请实用新型专利4项。</w:t>
      </w:r>
      <w:r>
        <w:rPr>
          <w:rFonts w:hint="eastAsia" w:ascii="仿宋" w:hAnsi="仿宋" w:eastAsia="仿宋" w:cs="仿宋"/>
          <w:color w:val="auto"/>
          <w:spacing w:val="-2"/>
          <w:sz w:val="32"/>
          <w:szCs w:val="32"/>
          <w:highlight w:val="none"/>
          <w:lang w:eastAsia="zh-CN"/>
        </w:rPr>
        <w:t>展现出卓越的创新与实践能力。学院生源质量稳步提升，2024年吉林省招生录取位次相较去年提升3000位次，</w:t>
      </w:r>
      <w:r>
        <w:rPr>
          <w:rFonts w:hint="eastAsia" w:ascii="仿宋" w:hAnsi="仿宋" w:eastAsia="仿宋" w:cs="仿宋"/>
          <w:color w:val="auto"/>
          <w:spacing w:val="-2"/>
          <w:sz w:val="32"/>
          <w:szCs w:val="32"/>
          <w:highlight w:val="none"/>
          <w:lang w:val="en-US" w:eastAsia="zh-CN"/>
        </w:rPr>
        <w:t>学生在学习能力、科学兴趣、人文素养、英语水平等方面有了很大提升</w:t>
      </w:r>
      <w:r>
        <w:rPr>
          <w:rFonts w:hint="eastAsia" w:ascii="仿宋" w:hAnsi="仿宋" w:eastAsia="仿宋" w:cs="仿宋"/>
          <w:color w:val="auto"/>
          <w:spacing w:val="-2"/>
          <w:sz w:val="32"/>
          <w:szCs w:val="32"/>
          <w:highlight w:val="none"/>
          <w:lang w:eastAsia="zh-CN"/>
        </w:rPr>
        <w:t>。</w:t>
      </w:r>
    </w:p>
    <w:p w14:paraId="70467D0F">
      <w:pPr>
        <w:pStyle w:val="2"/>
        <w:widowControl w:val="0"/>
        <w:kinsoku/>
        <w:wordWrap w:val="0"/>
        <w:topLinePunct/>
        <w:autoSpaceDE/>
        <w:autoSpaceDN/>
        <w:spacing w:line="500" w:lineRule="exact"/>
        <w:ind w:firstLine="632" w:firstLineChars="200"/>
        <w:jc w:val="both"/>
        <w:rPr>
          <w:rFonts w:hint="eastAsia" w:ascii="仿宋" w:hAnsi="仿宋" w:eastAsia="仿宋" w:cs="仿宋"/>
          <w:color w:val="auto"/>
          <w:spacing w:val="-2"/>
          <w:sz w:val="32"/>
          <w:szCs w:val="32"/>
          <w:highlight w:val="none"/>
          <w:lang w:eastAsia="zh-CN"/>
        </w:rPr>
      </w:pPr>
      <w:r>
        <w:rPr>
          <w:rFonts w:hint="eastAsia" w:ascii="仿宋" w:hAnsi="仿宋" w:eastAsia="仿宋" w:cs="仿宋"/>
          <w:color w:val="auto"/>
          <w:spacing w:val="-2"/>
          <w:sz w:val="32"/>
          <w:szCs w:val="32"/>
          <w:highlight w:val="none"/>
          <w:lang w:eastAsia="zh-CN"/>
        </w:rPr>
        <w:t>2024年，硕士</w:t>
      </w:r>
      <w:r>
        <w:rPr>
          <w:rFonts w:hint="eastAsia" w:ascii="仿宋" w:hAnsi="仿宋" w:eastAsia="仿宋" w:cs="仿宋"/>
          <w:color w:val="auto"/>
          <w:spacing w:val="-2"/>
          <w:sz w:val="32"/>
          <w:szCs w:val="32"/>
          <w:highlight w:val="none"/>
          <w:lang w:val="en-US" w:eastAsia="zh-CN"/>
        </w:rPr>
        <w:t>层次共有</w:t>
      </w:r>
      <w:r>
        <w:rPr>
          <w:rFonts w:hint="eastAsia" w:ascii="仿宋" w:hAnsi="仿宋" w:eastAsia="仿宋" w:cs="仿宋"/>
          <w:color w:val="auto"/>
          <w:spacing w:val="-2"/>
          <w:sz w:val="32"/>
          <w:szCs w:val="32"/>
          <w:highlight w:val="none"/>
          <w:lang w:eastAsia="zh-CN"/>
        </w:rPr>
        <w:t>12</w:t>
      </w:r>
      <w:r>
        <w:rPr>
          <w:rFonts w:hint="eastAsia" w:ascii="仿宋" w:hAnsi="仿宋" w:eastAsia="仿宋" w:cs="仿宋"/>
          <w:color w:val="auto"/>
          <w:spacing w:val="-2"/>
          <w:sz w:val="32"/>
          <w:szCs w:val="32"/>
          <w:highlight w:val="none"/>
          <w:lang w:val="en-US" w:eastAsia="zh-CN"/>
        </w:rPr>
        <w:t>名毕业生</w:t>
      </w:r>
      <w:r>
        <w:rPr>
          <w:rFonts w:hint="eastAsia" w:ascii="仿宋" w:hAnsi="仿宋" w:eastAsia="仿宋" w:cs="仿宋"/>
          <w:color w:val="auto"/>
          <w:spacing w:val="-2"/>
          <w:sz w:val="32"/>
          <w:szCs w:val="32"/>
          <w:highlight w:val="none"/>
          <w:lang w:eastAsia="zh-CN"/>
        </w:rPr>
        <w:t>。</w:t>
      </w:r>
      <w:r>
        <w:rPr>
          <w:rFonts w:hint="eastAsia" w:ascii="仿宋" w:hAnsi="仿宋" w:eastAsia="仿宋" w:cs="仿宋"/>
          <w:color w:val="auto"/>
          <w:spacing w:val="-2"/>
          <w:sz w:val="32"/>
          <w:szCs w:val="32"/>
          <w:highlight w:val="none"/>
          <w:lang w:val="en-US" w:eastAsia="zh-CN"/>
        </w:rPr>
        <w:t>俄方导师来长春授课，与中方导师共同指导学生论文选题、确定研究方向、开展项目研究，全部学生顺利通过论文答辩，</w:t>
      </w:r>
      <w:r>
        <w:rPr>
          <w:rFonts w:hint="eastAsia" w:ascii="仿宋" w:hAnsi="仿宋" w:eastAsia="仿宋" w:cs="仿宋"/>
          <w:color w:val="auto"/>
          <w:spacing w:val="-2"/>
          <w:sz w:val="32"/>
          <w:szCs w:val="32"/>
          <w:highlight w:val="none"/>
          <w:lang w:eastAsia="zh-CN"/>
        </w:rPr>
        <w:t>获得圣光机大学硕士学位。</w:t>
      </w:r>
    </w:p>
    <w:p w14:paraId="1F720F64">
      <w:pPr>
        <w:pStyle w:val="2"/>
        <w:widowControl w:val="0"/>
        <w:kinsoku/>
        <w:wordWrap w:val="0"/>
        <w:topLinePunct/>
        <w:autoSpaceDE/>
        <w:autoSpaceDN/>
        <w:spacing w:line="500" w:lineRule="exact"/>
        <w:ind w:firstLine="632" w:firstLineChars="200"/>
        <w:jc w:val="both"/>
        <w:rPr>
          <w:rFonts w:hint="eastAsia" w:ascii="仿宋" w:hAnsi="仿宋" w:eastAsia="仿宋" w:cs="仿宋"/>
          <w:color w:val="auto"/>
          <w:spacing w:val="-2"/>
          <w:sz w:val="32"/>
          <w:szCs w:val="32"/>
          <w:highlight w:val="none"/>
          <w:lang w:val="en-US" w:eastAsia="zh-CN"/>
        </w:rPr>
      </w:pPr>
      <w:r>
        <w:rPr>
          <w:rFonts w:hint="eastAsia" w:ascii="仿宋" w:hAnsi="仿宋" w:eastAsia="仿宋" w:cs="仿宋"/>
          <w:color w:val="auto"/>
          <w:spacing w:val="-2"/>
          <w:sz w:val="32"/>
          <w:szCs w:val="32"/>
          <w:highlight w:val="none"/>
          <w:lang w:eastAsia="zh-CN"/>
        </w:rPr>
        <w:t>2024年，经过中俄两校考核，</w:t>
      </w:r>
      <w:r>
        <w:rPr>
          <w:rFonts w:hint="eastAsia" w:ascii="仿宋" w:hAnsi="仿宋" w:eastAsia="仿宋" w:cs="仿宋"/>
          <w:color w:val="auto"/>
          <w:spacing w:val="-2"/>
          <w:sz w:val="32"/>
          <w:szCs w:val="32"/>
          <w:highlight w:val="none"/>
          <w:lang w:val="en-US" w:eastAsia="zh-CN"/>
        </w:rPr>
        <w:t>在凝聚态物理、激光技术等方向</w:t>
      </w:r>
      <w:r>
        <w:rPr>
          <w:rFonts w:hint="eastAsia" w:ascii="仿宋" w:hAnsi="仿宋" w:eastAsia="仿宋" w:cs="仿宋"/>
          <w:color w:val="auto"/>
          <w:spacing w:val="-2"/>
          <w:sz w:val="32"/>
          <w:szCs w:val="32"/>
          <w:highlight w:val="none"/>
          <w:lang w:eastAsia="zh-CN"/>
        </w:rPr>
        <w:t>共录取4名博士研究生。</w:t>
      </w:r>
      <w:r>
        <w:rPr>
          <w:rFonts w:hint="eastAsia" w:ascii="仿宋" w:hAnsi="仿宋" w:eastAsia="仿宋" w:cs="仿宋"/>
          <w:color w:val="auto"/>
          <w:spacing w:val="-2"/>
          <w:sz w:val="32"/>
          <w:szCs w:val="32"/>
          <w:highlight w:val="none"/>
          <w:lang w:val="en-US" w:eastAsia="zh-CN"/>
        </w:rPr>
        <w:t>中俄两校的博士生导师借助学生联合培养这一契机，增进了彼此的了解，拓展了合作领域，为进一步高水平人才培养和科学研究打下坚实基础。</w:t>
      </w:r>
    </w:p>
    <w:p w14:paraId="482D7726">
      <w:pPr>
        <w:widowControl w:val="0"/>
        <w:kinsoku/>
        <w:wordWrap w:val="0"/>
        <w:topLinePunct/>
        <w:autoSpaceDE/>
        <w:autoSpaceDN/>
        <w:spacing w:line="500" w:lineRule="exact"/>
        <w:ind w:firstLine="632" w:firstLineChars="200"/>
        <w:jc w:val="both"/>
        <w:textAlignment w:val="auto"/>
        <w:rPr>
          <w:rFonts w:hint="eastAsia" w:ascii="仿宋" w:hAnsi="仿宋" w:eastAsia="仿宋" w:cs="仿宋"/>
          <w:b w:val="0"/>
          <w:bCs w:val="0"/>
          <w:color w:val="auto"/>
          <w:spacing w:val="-2"/>
          <w:sz w:val="32"/>
          <w:szCs w:val="32"/>
          <w:highlight w:val="none"/>
          <w:lang w:eastAsia="zh-CN"/>
        </w:rPr>
      </w:pPr>
      <w:r>
        <w:rPr>
          <w:rFonts w:hint="eastAsia" w:ascii="仿宋" w:hAnsi="仿宋" w:eastAsia="仿宋" w:cs="仿宋"/>
          <w:b w:val="0"/>
          <w:bCs w:val="0"/>
          <w:color w:val="auto"/>
          <w:spacing w:val="-2"/>
          <w:sz w:val="32"/>
          <w:szCs w:val="32"/>
          <w:highlight w:val="none"/>
          <w:lang w:eastAsia="zh-CN"/>
        </w:rPr>
        <w:t>（</w:t>
      </w:r>
      <w:r>
        <w:rPr>
          <w:rFonts w:hint="eastAsia" w:ascii="仿宋" w:hAnsi="仿宋" w:eastAsia="仿宋" w:cs="仿宋"/>
          <w:b w:val="0"/>
          <w:bCs w:val="0"/>
          <w:color w:val="auto"/>
          <w:spacing w:val="-2"/>
          <w:sz w:val="32"/>
          <w:szCs w:val="32"/>
          <w:highlight w:val="none"/>
          <w:lang w:val="en-US" w:eastAsia="zh-CN"/>
        </w:rPr>
        <w:t>二</w:t>
      </w:r>
      <w:r>
        <w:rPr>
          <w:rFonts w:hint="eastAsia" w:ascii="仿宋" w:hAnsi="仿宋" w:eastAsia="仿宋" w:cs="仿宋"/>
          <w:b w:val="0"/>
          <w:bCs w:val="0"/>
          <w:color w:val="auto"/>
          <w:spacing w:val="-2"/>
          <w:sz w:val="32"/>
          <w:szCs w:val="32"/>
          <w:highlight w:val="none"/>
          <w:lang w:eastAsia="zh-CN"/>
        </w:rPr>
        <w:t>）学生发展支持体系建设</w:t>
      </w:r>
    </w:p>
    <w:p w14:paraId="71E6648D">
      <w:pPr>
        <w:widowControl w:val="0"/>
        <w:kinsoku/>
        <w:wordWrap w:val="0"/>
        <w:topLinePunct/>
        <w:autoSpaceDE/>
        <w:autoSpaceDN/>
        <w:spacing w:line="500" w:lineRule="exact"/>
        <w:ind w:firstLine="632" w:firstLineChars="200"/>
        <w:jc w:val="both"/>
        <w:textAlignment w:val="auto"/>
        <w:rPr>
          <w:rFonts w:hint="eastAsia" w:ascii="仿宋" w:hAnsi="仿宋" w:eastAsia="仿宋" w:cs="仿宋"/>
          <w:color w:val="auto"/>
          <w:spacing w:val="-2"/>
          <w:sz w:val="32"/>
          <w:szCs w:val="32"/>
          <w:highlight w:val="none"/>
          <w:lang w:eastAsia="zh-CN"/>
        </w:rPr>
      </w:pPr>
      <w:r>
        <w:rPr>
          <w:rFonts w:hint="eastAsia" w:ascii="仿宋" w:hAnsi="仿宋" w:eastAsia="仿宋" w:cs="仿宋"/>
          <w:color w:val="auto"/>
          <w:spacing w:val="-2"/>
          <w:sz w:val="32"/>
          <w:szCs w:val="32"/>
          <w:highlight w:val="none"/>
          <w:lang w:eastAsia="zh-CN"/>
        </w:rPr>
        <w:t>学院以学生成长为核心，全方位、多角度发力，提供多元化支持，助力学生提升综合素养。</w:t>
      </w:r>
      <w:r>
        <w:rPr>
          <w:rFonts w:hint="eastAsia" w:ascii="仿宋" w:hAnsi="仿宋" w:eastAsia="仿宋" w:cs="仿宋"/>
          <w:color w:val="auto"/>
          <w:spacing w:val="-2"/>
          <w:sz w:val="32"/>
          <w:szCs w:val="32"/>
          <w:highlight w:val="none"/>
          <w:lang w:val="en-US" w:eastAsia="zh-CN"/>
        </w:rPr>
        <w:t>在</w:t>
      </w:r>
      <w:r>
        <w:rPr>
          <w:rFonts w:hint="eastAsia" w:ascii="仿宋" w:hAnsi="仿宋" w:eastAsia="仿宋" w:cs="仿宋"/>
          <w:color w:val="auto"/>
          <w:spacing w:val="-2"/>
          <w:sz w:val="32"/>
          <w:szCs w:val="32"/>
          <w:highlight w:val="none"/>
          <w:lang w:eastAsia="zh-CN"/>
        </w:rPr>
        <w:t>学术指导方面，定期邀请中俄教师开展学术交流活动，搭建英语实践平台，提升学生专业及英语水平，通过“学术周末”精准助力学业困难学生；</w:t>
      </w:r>
      <w:r>
        <w:rPr>
          <w:rFonts w:hint="eastAsia" w:ascii="仿宋" w:hAnsi="仿宋" w:eastAsia="仿宋" w:cs="仿宋"/>
          <w:color w:val="auto"/>
          <w:spacing w:val="-2"/>
          <w:sz w:val="32"/>
          <w:szCs w:val="32"/>
          <w:highlight w:val="none"/>
          <w:lang w:val="en-US" w:eastAsia="zh-CN"/>
        </w:rPr>
        <w:t>在</w:t>
      </w:r>
      <w:r>
        <w:rPr>
          <w:rFonts w:hint="eastAsia" w:ascii="仿宋" w:hAnsi="仿宋" w:eastAsia="仿宋" w:cs="仿宋"/>
          <w:color w:val="auto"/>
          <w:spacing w:val="-2"/>
          <w:sz w:val="32"/>
          <w:szCs w:val="32"/>
          <w:highlight w:val="none"/>
          <w:lang w:eastAsia="zh-CN"/>
        </w:rPr>
        <w:t>实践创新方面，依托“Light More”大学生科创基地与中俄导师团队，构建竞赛体系，</w:t>
      </w:r>
      <w:r>
        <w:rPr>
          <w:rFonts w:hint="eastAsia" w:ascii="仿宋" w:hAnsi="仿宋" w:eastAsia="仿宋" w:cs="仿宋"/>
          <w:color w:val="auto"/>
          <w:spacing w:val="-2"/>
          <w:sz w:val="32"/>
          <w:szCs w:val="32"/>
          <w:highlight w:val="none"/>
          <w:lang w:val="en-US" w:eastAsia="zh-CN"/>
        </w:rPr>
        <w:t>促进学生教学实践深度融合</w:t>
      </w:r>
      <w:r>
        <w:rPr>
          <w:rFonts w:hint="eastAsia" w:ascii="仿宋" w:hAnsi="仿宋" w:eastAsia="仿宋" w:cs="仿宋"/>
          <w:color w:val="auto"/>
          <w:spacing w:val="-2"/>
          <w:sz w:val="32"/>
          <w:szCs w:val="32"/>
          <w:highlight w:val="none"/>
          <w:lang w:eastAsia="zh-CN"/>
        </w:rPr>
        <w:t>；</w:t>
      </w:r>
      <w:r>
        <w:rPr>
          <w:rFonts w:hint="eastAsia" w:ascii="仿宋" w:hAnsi="仿宋" w:eastAsia="仿宋" w:cs="仿宋"/>
          <w:color w:val="auto"/>
          <w:spacing w:val="-2"/>
          <w:sz w:val="32"/>
          <w:szCs w:val="32"/>
          <w:highlight w:val="none"/>
          <w:lang w:val="en-US" w:eastAsia="zh-CN"/>
        </w:rPr>
        <w:t>在</w:t>
      </w:r>
      <w:r>
        <w:rPr>
          <w:rFonts w:hint="eastAsia" w:ascii="仿宋" w:hAnsi="仿宋" w:eastAsia="仿宋" w:cs="仿宋"/>
          <w:color w:val="auto"/>
          <w:spacing w:val="-2"/>
          <w:sz w:val="32"/>
          <w:szCs w:val="32"/>
          <w:highlight w:val="none"/>
          <w:lang w:eastAsia="zh-CN"/>
        </w:rPr>
        <w:t>综合素质培养方面，以思政课、专题党课及爱国主义基地参观强化思想政治引领，</w:t>
      </w:r>
      <w:r>
        <w:rPr>
          <w:rFonts w:hint="eastAsia" w:ascii="仿宋" w:hAnsi="仿宋" w:eastAsia="仿宋" w:cs="仿宋"/>
          <w:color w:val="auto"/>
          <w:spacing w:val="-2"/>
          <w:sz w:val="32"/>
          <w:szCs w:val="32"/>
          <w:highlight w:val="none"/>
          <w:lang w:val="en-US" w:eastAsia="zh-CN"/>
        </w:rPr>
        <w:t>同时借助</w:t>
      </w:r>
      <w:r>
        <w:rPr>
          <w:rFonts w:hint="eastAsia" w:ascii="仿宋" w:hAnsi="仿宋" w:eastAsia="仿宋" w:cs="仿宋"/>
          <w:color w:val="auto"/>
          <w:spacing w:val="-2"/>
          <w:sz w:val="32"/>
          <w:szCs w:val="32"/>
          <w:highlight w:val="none"/>
          <w:lang w:eastAsia="zh-CN"/>
        </w:rPr>
        <w:t>多元文体活动扩大中俄人文交流规模</w:t>
      </w:r>
      <w:r>
        <w:rPr>
          <w:rFonts w:hint="eastAsia" w:ascii="仿宋" w:hAnsi="仿宋" w:eastAsia="仿宋" w:cs="仿宋"/>
          <w:snapToGrid/>
          <w:color w:val="auto"/>
          <w:kern w:val="2"/>
          <w:sz w:val="32"/>
          <w:szCs w:val="32"/>
          <w:highlight w:val="none"/>
          <w:lang w:eastAsia="zh-CN"/>
        </w:rPr>
        <w:t>。</w:t>
      </w:r>
      <w:r>
        <w:rPr>
          <w:rFonts w:hint="eastAsia" w:ascii="仿宋" w:hAnsi="仿宋" w:eastAsia="仿宋" w:cs="仿宋"/>
          <w:color w:val="auto"/>
          <w:spacing w:val="-2"/>
          <w:sz w:val="32"/>
          <w:szCs w:val="32"/>
          <w:highlight w:val="none"/>
          <w:lang w:eastAsia="zh-CN"/>
        </w:rPr>
        <w:t>2024年，志愿服务团队组织百余次实践活动，近千人次学生参与。</w:t>
      </w:r>
    </w:p>
    <w:p w14:paraId="50D553A8">
      <w:pPr>
        <w:pStyle w:val="2"/>
        <w:widowControl w:val="0"/>
        <w:kinsoku/>
        <w:wordWrap w:val="0"/>
        <w:topLinePunct/>
        <w:autoSpaceDE/>
        <w:autoSpaceDN/>
        <w:spacing w:line="500" w:lineRule="exact"/>
        <w:ind w:firstLine="632" w:firstLineChars="200"/>
        <w:jc w:val="both"/>
        <w:rPr>
          <w:rFonts w:hint="eastAsia" w:ascii="仿宋" w:hAnsi="仿宋" w:eastAsia="仿宋" w:cs="仿宋"/>
          <w:b w:val="0"/>
          <w:bCs w:val="0"/>
          <w:color w:val="auto"/>
          <w:spacing w:val="-2"/>
          <w:sz w:val="32"/>
          <w:szCs w:val="32"/>
          <w:highlight w:val="none"/>
          <w:lang w:eastAsia="zh-CN"/>
        </w:rPr>
      </w:pPr>
      <w:r>
        <w:rPr>
          <w:rFonts w:hint="eastAsia" w:ascii="仿宋" w:hAnsi="仿宋" w:eastAsia="仿宋" w:cs="仿宋"/>
          <w:b w:val="0"/>
          <w:bCs w:val="0"/>
          <w:color w:val="auto"/>
          <w:spacing w:val="-2"/>
          <w:sz w:val="32"/>
          <w:szCs w:val="32"/>
          <w:highlight w:val="none"/>
          <w:lang w:eastAsia="zh-CN"/>
        </w:rPr>
        <w:t>（</w:t>
      </w:r>
      <w:r>
        <w:rPr>
          <w:rFonts w:hint="eastAsia" w:ascii="仿宋" w:hAnsi="仿宋" w:eastAsia="仿宋" w:cs="仿宋"/>
          <w:b w:val="0"/>
          <w:bCs w:val="0"/>
          <w:color w:val="auto"/>
          <w:spacing w:val="-2"/>
          <w:sz w:val="32"/>
          <w:szCs w:val="32"/>
          <w:highlight w:val="none"/>
          <w:lang w:val="en-US" w:eastAsia="zh-CN"/>
        </w:rPr>
        <w:t>三</w:t>
      </w:r>
      <w:r>
        <w:rPr>
          <w:rFonts w:hint="eastAsia" w:ascii="仿宋" w:hAnsi="仿宋" w:eastAsia="仿宋" w:cs="仿宋"/>
          <w:b w:val="0"/>
          <w:bCs w:val="0"/>
          <w:color w:val="auto"/>
          <w:spacing w:val="-2"/>
          <w:sz w:val="32"/>
          <w:szCs w:val="32"/>
          <w:highlight w:val="none"/>
          <w:lang w:eastAsia="zh-CN"/>
        </w:rPr>
        <w:t>）</w:t>
      </w:r>
      <w:r>
        <w:rPr>
          <w:rFonts w:hint="eastAsia" w:ascii="仿宋" w:hAnsi="仿宋" w:eastAsia="仿宋" w:cs="仿宋"/>
          <w:b w:val="0"/>
          <w:bCs w:val="0"/>
          <w:color w:val="auto"/>
          <w:spacing w:val="-2"/>
          <w:sz w:val="32"/>
          <w:szCs w:val="32"/>
          <w:highlight w:val="none"/>
          <w:lang w:val="en-US" w:eastAsia="zh-CN"/>
        </w:rPr>
        <w:t>学生</w:t>
      </w:r>
      <w:r>
        <w:rPr>
          <w:rFonts w:hint="eastAsia" w:ascii="仿宋" w:hAnsi="仿宋" w:eastAsia="仿宋" w:cs="仿宋"/>
          <w:b w:val="0"/>
          <w:bCs w:val="0"/>
          <w:color w:val="auto"/>
          <w:spacing w:val="-2"/>
          <w:sz w:val="32"/>
          <w:szCs w:val="32"/>
          <w:highlight w:val="none"/>
          <w:lang w:eastAsia="zh-CN"/>
        </w:rPr>
        <w:t>国际视野与跨文化交流能力培养</w:t>
      </w:r>
    </w:p>
    <w:p w14:paraId="638BC4FF">
      <w:pPr>
        <w:pStyle w:val="2"/>
        <w:widowControl w:val="0"/>
        <w:kinsoku/>
        <w:wordWrap w:val="0"/>
        <w:topLinePunct/>
        <w:autoSpaceDE/>
        <w:autoSpaceDN/>
        <w:spacing w:line="500" w:lineRule="exact"/>
        <w:ind w:firstLine="632" w:firstLineChars="200"/>
        <w:jc w:val="both"/>
        <w:rPr>
          <w:rFonts w:hint="eastAsia" w:ascii="仿宋" w:hAnsi="仿宋" w:eastAsia="仿宋" w:cs="仿宋"/>
          <w:color w:val="auto"/>
          <w:spacing w:val="-2"/>
          <w:sz w:val="32"/>
          <w:szCs w:val="32"/>
          <w:highlight w:val="none"/>
          <w:lang w:eastAsia="zh-CN"/>
        </w:rPr>
      </w:pPr>
      <w:r>
        <w:rPr>
          <w:rFonts w:hint="eastAsia" w:ascii="仿宋" w:hAnsi="仿宋" w:eastAsia="仿宋" w:cs="仿宋"/>
          <w:color w:val="auto"/>
          <w:spacing w:val="-2"/>
          <w:sz w:val="32"/>
          <w:szCs w:val="32"/>
          <w:highlight w:val="none"/>
          <w:lang w:eastAsia="zh-CN"/>
        </w:rPr>
        <w:t>学院构建了全方位、</w:t>
      </w:r>
      <w:r>
        <w:rPr>
          <w:rFonts w:hint="eastAsia" w:ascii="仿宋" w:hAnsi="仿宋" w:eastAsia="仿宋" w:cs="仿宋"/>
          <w:color w:val="auto"/>
          <w:spacing w:val="-2"/>
          <w:sz w:val="32"/>
          <w:szCs w:val="32"/>
          <w:highlight w:val="none"/>
          <w:lang w:val="en-US" w:eastAsia="zh-CN"/>
        </w:rPr>
        <w:t>多元</w:t>
      </w:r>
      <w:r>
        <w:rPr>
          <w:rFonts w:hint="eastAsia" w:ascii="仿宋" w:hAnsi="仿宋" w:eastAsia="仿宋" w:cs="仿宋"/>
          <w:color w:val="auto"/>
          <w:spacing w:val="-2"/>
          <w:sz w:val="32"/>
          <w:szCs w:val="32"/>
          <w:highlight w:val="none"/>
          <w:lang w:eastAsia="zh-CN"/>
        </w:rPr>
        <w:t>化</w:t>
      </w:r>
      <w:r>
        <w:rPr>
          <w:rFonts w:hint="eastAsia" w:ascii="仿宋" w:hAnsi="仿宋" w:eastAsia="仿宋" w:cs="仿宋"/>
          <w:color w:val="auto"/>
          <w:spacing w:val="-2"/>
          <w:sz w:val="32"/>
          <w:szCs w:val="32"/>
          <w:highlight w:val="none"/>
          <w:lang w:val="en-US" w:eastAsia="zh-CN"/>
        </w:rPr>
        <w:t>人才</w:t>
      </w:r>
      <w:r>
        <w:rPr>
          <w:rFonts w:hint="eastAsia" w:ascii="仿宋" w:hAnsi="仿宋" w:eastAsia="仿宋" w:cs="仿宋"/>
          <w:color w:val="auto"/>
          <w:spacing w:val="-2"/>
          <w:sz w:val="32"/>
          <w:szCs w:val="32"/>
          <w:highlight w:val="none"/>
          <w:lang w:eastAsia="zh-CN"/>
        </w:rPr>
        <w:t>培养体系。2024年，举办了中俄师生“科创竞赛经验分享会”、中华优秀传统文化体验、中俄师生“体育文化节”“理解当代中国”英文配音比赛等活动。学生通过长期浸润式培养，不仅掌握了跨文化沟通的专业技能，更形成了开放包容的国际视野与思维模式。</w:t>
      </w:r>
    </w:p>
    <w:p w14:paraId="386690C8">
      <w:pPr>
        <w:pStyle w:val="2"/>
        <w:widowControl w:val="0"/>
        <w:kinsoku/>
        <w:wordWrap w:val="0"/>
        <w:topLinePunct/>
        <w:autoSpaceDE/>
        <w:autoSpaceDN/>
        <w:spacing w:line="500" w:lineRule="exact"/>
        <w:ind w:firstLine="632" w:firstLineChars="200"/>
        <w:jc w:val="both"/>
        <w:rPr>
          <w:rFonts w:hint="eastAsia" w:ascii="仿宋" w:hAnsi="仿宋" w:eastAsia="仿宋" w:cs="仿宋"/>
          <w:b w:val="0"/>
          <w:bCs w:val="0"/>
          <w:color w:val="auto"/>
          <w:spacing w:val="-2"/>
          <w:sz w:val="32"/>
          <w:szCs w:val="32"/>
          <w:highlight w:val="none"/>
          <w:lang w:eastAsia="zh-CN"/>
        </w:rPr>
      </w:pPr>
      <w:r>
        <w:rPr>
          <w:rFonts w:hint="eastAsia" w:ascii="仿宋" w:hAnsi="仿宋" w:eastAsia="仿宋" w:cs="仿宋"/>
          <w:b w:val="0"/>
          <w:bCs w:val="0"/>
          <w:color w:val="auto"/>
          <w:spacing w:val="-2"/>
          <w:sz w:val="32"/>
          <w:szCs w:val="32"/>
          <w:highlight w:val="none"/>
          <w:lang w:eastAsia="zh-CN"/>
        </w:rPr>
        <w:t>（</w:t>
      </w:r>
      <w:r>
        <w:rPr>
          <w:rFonts w:hint="eastAsia" w:ascii="仿宋" w:hAnsi="仿宋" w:eastAsia="仿宋" w:cs="仿宋"/>
          <w:b w:val="0"/>
          <w:bCs w:val="0"/>
          <w:color w:val="auto"/>
          <w:spacing w:val="-2"/>
          <w:sz w:val="32"/>
          <w:szCs w:val="32"/>
          <w:highlight w:val="none"/>
          <w:lang w:val="en-US" w:eastAsia="zh-CN"/>
        </w:rPr>
        <w:t>四</w:t>
      </w:r>
      <w:r>
        <w:rPr>
          <w:rFonts w:hint="eastAsia" w:ascii="仿宋" w:hAnsi="仿宋" w:eastAsia="仿宋" w:cs="仿宋"/>
          <w:b w:val="0"/>
          <w:bCs w:val="0"/>
          <w:color w:val="auto"/>
          <w:spacing w:val="-2"/>
          <w:sz w:val="32"/>
          <w:szCs w:val="32"/>
          <w:highlight w:val="none"/>
          <w:lang w:eastAsia="zh-CN"/>
        </w:rPr>
        <w:t>）实习实践教学成果</w:t>
      </w:r>
    </w:p>
    <w:p w14:paraId="238ADF93">
      <w:pPr>
        <w:pStyle w:val="2"/>
        <w:widowControl w:val="0"/>
        <w:kinsoku/>
        <w:wordWrap w:val="0"/>
        <w:topLinePunct/>
        <w:autoSpaceDE/>
        <w:autoSpaceDN/>
        <w:spacing w:line="500" w:lineRule="exact"/>
        <w:ind w:firstLine="632" w:firstLineChars="200"/>
        <w:jc w:val="both"/>
        <w:rPr>
          <w:rFonts w:hint="eastAsia" w:ascii="仿宋" w:hAnsi="仿宋" w:eastAsia="仿宋" w:cs="仿宋"/>
          <w:color w:val="auto"/>
          <w:spacing w:val="-2"/>
          <w:sz w:val="32"/>
          <w:szCs w:val="32"/>
          <w:highlight w:val="none"/>
          <w:lang w:eastAsia="zh-CN"/>
        </w:rPr>
      </w:pPr>
      <w:r>
        <w:rPr>
          <w:rFonts w:hint="eastAsia" w:ascii="仿宋" w:hAnsi="仿宋" w:eastAsia="仿宋" w:cs="仿宋"/>
          <w:color w:val="auto"/>
          <w:spacing w:val="-2"/>
          <w:sz w:val="32"/>
          <w:szCs w:val="32"/>
          <w:highlight w:val="none"/>
          <w:lang w:val="en-US" w:eastAsia="zh-CN"/>
        </w:rPr>
        <w:t>按照学院教学计划，本科生学生</w:t>
      </w:r>
      <w:r>
        <w:rPr>
          <w:rFonts w:hint="eastAsia" w:ascii="仿宋" w:hAnsi="仿宋" w:eastAsia="仿宋" w:cs="仿宋"/>
          <w:color w:val="auto"/>
          <w:spacing w:val="-2"/>
          <w:sz w:val="32"/>
          <w:szCs w:val="32"/>
          <w:highlight w:val="none"/>
          <w:lang w:eastAsia="zh-CN"/>
        </w:rPr>
        <w:t>实习</w:t>
      </w:r>
      <w:r>
        <w:rPr>
          <w:rFonts w:hint="eastAsia" w:ascii="仿宋" w:hAnsi="仿宋" w:eastAsia="仿宋" w:cs="仿宋"/>
          <w:color w:val="auto"/>
          <w:spacing w:val="-2"/>
          <w:sz w:val="32"/>
          <w:szCs w:val="32"/>
          <w:highlight w:val="none"/>
          <w:lang w:val="en-US" w:eastAsia="zh-CN"/>
        </w:rPr>
        <w:t>任务安排在2025年，即学生的大四第一学期进行，故2024年学院本科生没有安排实习。</w:t>
      </w:r>
      <w:r>
        <w:rPr>
          <w:rFonts w:hint="eastAsia" w:ascii="仿宋" w:hAnsi="仿宋" w:eastAsia="仿宋" w:cs="仿宋"/>
          <w:color w:val="auto"/>
          <w:spacing w:val="-2"/>
          <w:sz w:val="32"/>
          <w:szCs w:val="32"/>
          <w:highlight w:val="none"/>
          <w:lang w:eastAsia="zh-CN"/>
        </w:rPr>
        <w:t>学院</w:t>
      </w:r>
      <w:r>
        <w:rPr>
          <w:rFonts w:hint="eastAsia" w:ascii="仿宋" w:hAnsi="仿宋" w:eastAsia="仿宋" w:cs="仿宋"/>
          <w:color w:val="auto"/>
          <w:spacing w:val="-2"/>
          <w:sz w:val="32"/>
          <w:szCs w:val="32"/>
          <w:highlight w:val="none"/>
          <w:lang w:val="en-US" w:eastAsia="zh-CN"/>
        </w:rPr>
        <w:t>高度重视学生的实习实践，组织学生到长春光机所、光学科技馆、光电企业参观学习，到学校国际合作基地和国际联合研究中心参加国际会议的志愿服务，提升实践水平，感受科学家精神，培养国际化意识。同时，</w:t>
      </w:r>
      <w:r>
        <w:rPr>
          <w:rFonts w:hint="eastAsia" w:ascii="仿宋" w:hAnsi="仿宋" w:eastAsia="仿宋" w:cs="仿宋"/>
          <w:color w:val="auto"/>
          <w:spacing w:val="-2"/>
          <w:sz w:val="32"/>
          <w:szCs w:val="32"/>
          <w:highlight w:val="none"/>
          <w:lang w:eastAsia="zh-CN"/>
        </w:rPr>
        <w:t>鼓励学生出国交流，开展境外实践</w:t>
      </w:r>
      <w:r>
        <w:rPr>
          <w:rFonts w:hint="eastAsia" w:ascii="仿宋" w:hAnsi="仿宋" w:eastAsia="仿宋" w:cs="仿宋"/>
          <w:color w:val="auto"/>
          <w:spacing w:val="-2"/>
          <w:sz w:val="32"/>
          <w:szCs w:val="32"/>
          <w:highlight w:val="none"/>
          <w:lang w:val="en-US" w:eastAsia="zh-CN"/>
        </w:rPr>
        <w:t>活动</w:t>
      </w:r>
      <w:r>
        <w:rPr>
          <w:rFonts w:hint="eastAsia" w:ascii="仿宋" w:hAnsi="仿宋" w:eastAsia="仿宋" w:cs="仿宋"/>
          <w:color w:val="auto"/>
          <w:spacing w:val="-2"/>
          <w:sz w:val="32"/>
          <w:szCs w:val="32"/>
          <w:highlight w:val="none"/>
          <w:lang w:eastAsia="zh-CN"/>
        </w:rPr>
        <w:t>。2024年，学院共54名学生获得国家留学基金委</w:t>
      </w:r>
      <w:r>
        <w:rPr>
          <w:rFonts w:hint="eastAsia" w:ascii="仿宋" w:hAnsi="仿宋" w:eastAsia="仿宋" w:cs="仿宋"/>
          <w:color w:val="auto"/>
          <w:spacing w:val="-2"/>
          <w:sz w:val="32"/>
          <w:szCs w:val="32"/>
          <w:highlight w:val="none"/>
          <w:lang w:val="en-US" w:eastAsia="zh-CN"/>
        </w:rPr>
        <w:t>资助，参与</w:t>
      </w:r>
      <w:r>
        <w:rPr>
          <w:rFonts w:hint="eastAsia" w:ascii="仿宋" w:hAnsi="仿宋" w:eastAsia="仿宋" w:cs="仿宋"/>
          <w:color w:val="auto"/>
          <w:spacing w:val="-2"/>
          <w:sz w:val="32"/>
          <w:szCs w:val="32"/>
          <w:highlight w:val="none"/>
          <w:lang w:eastAsia="zh-CN"/>
        </w:rPr>
        <w:t>“促进与俄乌白国际合作培养项目”，</w:t>
      </w:r>
      <w:r>
        <w:rPr>
          <w:rFonts w:hint="eastAsia" w:ascii="仿宋" w:hAnsi="仿宋" w:eastAsia="仿宋" w:cs="仿宋"/>
          <w:color w:val="auto"/>
          <w:spacing w:val="-2"/>
          <w:sz w:val="32"/>
          <w:szCs w:val="32"/>
          <w:highlight w:val="none"/>
          <w:lang w:val="en-US" w:eastAsia="zh-CN"/>
        </w:rPr>
        <w:t>前往</w:t>
      </w:r>
      <w:r>
        <w:rPr>
          <w:rFonts w:hint="eastAsia" w:ascii="仿宋" w:hAnsi="仿宋" w:eastAsia="仿宋" w:cs="仿宋"/>
          <w:color w:val="auto"/>
          <w:spacing w:val="-2"/>
          <w:sz w:val="32"/>
          <w:szCs w:val="32"/>
          <w:highlight w:val="none"/>
          <w:lang w:eastAsia="zh-CN"/>
        </w:rPr>
        <w:t>圣光机大学</w:t>
      </w:r>
      <w:r>
        <w:rPr>
          <w:rFonts w:hint="eastAsia" w:ascii="仿宋" w:hAnsi="仿宋" w:eastAsia="仿宋" w:cs="仿宋"/>
          <w:color w:val="auto"/>
          <w:spacing w:val="-2"/>
          <w:sz w:val="32"/>
          <w:szCs w:val="32"/>
          <w:highlight w:val="none"/>
          <w:lang w:val="en-US" w:eastAsia="zh-CN"/>
        </w:rPr>
        <w:t>进行</w:t>
      </w:r>
      <w:r>
        <w:rPr>
          <w:rFonts w:hint="eastAsia" w:ascii="仿宋" w:hAnsi="仿宋" w:eastAsia="仿宋" w:cs="仿宋"/>
          <w:color w:val="auto"/>
          <w:spacing w:val="-2"/>
          <w:sz w:val="32"/>
          <w:szCs w:val="32"/>
          <w:highlight w:val="none"/>
          <w:lang w:eastAsia="zh-CN"/>
        </w:rPr>
        <w:t>交流学习</w:t>
      </w:r>
      <w:r>
        <w:rPr>
          <w:rFonts w:hint="eastAsia" w:ascii="仿宋" w:hAnsi="仿宋" w:eastAsia="仿宋" w:cs="仿宋"/>
          <w:color w:val="auto"/>
          <w:spacing w:val="-2"/>
          <w:sz w:val="32"/>
          <w:szCs w:val="32"/>
          <w:highlight w:val="none"/>
          <w:lang w:val="en-US" w:eastAsia="zh-CN"/>
        </w:rPr>
        <w:t>并</w:t>
      </w:r>
      <w:r>
        <w:rPr>
          <w:rFonts w:hint="eastAsia" w:ascii="仿宋" w:hAnsi="仿宋" w:eastAsia="仿宋" w:cs="仿宋"/>
          <w:color w:val="auto"/>
          <w:spacing w:val="-2"/>
          <w:sz w:val="32"/>
          <w:szCs w:val="32"/>
          <w:highlight w:val="none"/>
          <w:lang w:eastAsia="zh-CN"/>
        </w:rPr>
        <w:t>在俄方导师指导下开展</w:t>
      </w:r>
      <w:r>
        <w:rPr>
          <w:rFonts w:hint="eastAsia" w:ascii="仿宋" w:hAnsi="仿宋" w:eastAsia="仿宋" w:cs="仿宋"/>
          <w:color w:val="auto"/>
          <w:spacing w:val="-2"/>
          <w:sz w:val="32"/>
          <w:szCs w:val="32"/>
          <w:highlight w:val="none"/>
          <w:lang w:val="en-US" w:eastAsia="zh-CN"/>
        </w:rPr>
        <w:t>科研</w:t>
      </w:r>
      <w:r>
        <w:rPr>
          <w:rFonts w:hint="eastAsia" w:ascii="仿宋" w:hAnsi="仿宋" w:eastAsia="仿宋" w:cs="仿宋"/>
          <w:color w:val="auto"/>
          <w:spacing w:val="-2"/>
          <w:sz w:val="32"/>
          <w:szCs w:val="32"/>
          <w:highlight w:val="none"/>
          <w:lang w:eastAsia="zh-CN"/>
        </w:rPr>
        <w:t>实践，</w:t>
      </w:r>
      <w:r>
        <w:rPr>
          <w:rFonts w:hint="eastAsia" w:ascii="仿宋" w:hAnsi="仿宋" w:eastAsia="仿宋" w:cs="仿宋"/>
          <w:color w:val="auto"/>
          <w:spacing w:val="-2"/>
          <w:sz w:val="32"/>
          <w:szCs w:val="32"/>
          <w:highlight w:val="none"/>
          <w:lang w:val="en-US" w:eastAsia="zh-CN"/>
        </w:rPr>
        <w:t>提升了学生国际视野和创新意识</w:t>
      </w:r>
      <w:r>
        <w:rPr>
          <w:rFonts w:hint="eastAsia" w:ascii="仿宋" w:hAnsi="仿宋" w:eastAsia="仿宋" w:cs="仿宋"/>
          <w:color w:val="auto"/>
          <w:spacing w:val="-2"/>
          <w:sz w:val="32"/>
          <w:szCs w:val="32"/>
          <w:highlight w:val="none"/>
          <w:lang w:eastAsia="zh-CN"/>
        </w:rPr>
        <w:t>。</w:t>
      </w:r>
    </w:p>
    <w:p w14:paraId="1565838C">
      <w:pPr>
        <w:pStyle w:val="2"/>
        <w:widowControl w:val="0"/>
        <w:numPr>
          <w:ilvl w:val="0"/>
          <w:numId w:val="0"/>
        </w:numPr>
        <w:kinsoku/>
        <w:wordWrap w:val="0"/>
        <w:topLinePunct/>
        <w:autoSpaceDE/>
        <w:autoSpaceDN/>
        <w:spacing w:line="500" w:lineRule="exact"/>
        <w:ind w:firstLine="632" w:firstLineChars="200"/>
        <w:jc w:val="both"/>
        <w:rPr>
          <w:rFonts w:hint="eastAsia" w:ascii="仿宋" w:hAnsi="仿宋" w:eastAsia="仿宋" w:cs="仿宋"/>
          <w:b w:val="0"/>
          <w:bCs w:val="0"/>
          <w:color w:val="auto"/>
          <w:spacing w:val="-2"/>
          <w:sz w:val="32"/>
          <w:szCs w:val="32"/>
          <w:highlight w:val="none"/>
          <w:lang w:val="en-US" w:eastAsia="zh-CN"/>
        </w:rPr>
      </w:pPr>
      <w:r>
        <w:rPr>
          <w:rFonts w:hint="eastAsia" w:ascii="仿宋" w:hAnsi="仿宋" w:eastAsia="仿宋" w:cs="仿宋"/>
          <w:b w:val="0"/>
          <w:bCs w:val="0"/>
          <w:color w:val="auto"/>
          <w:spacing w:val="-2"/>
          <w:sz w:val="32"/>
          <w:szCs w:val="32"/>
          <w:highlight w:val="none"/>
          <w:lang w:val="en-US" w:eastAsia="zh-CN"/>
        </w:rPr>
        <w:t>（五）升学与就业</w:t>
      </w:r>
    </w:p>
    <w:p w14:paraId="77C93F8A">
      <w:pPr>
        <w:pStyle w:val="2"/>
        <w:widowControl w:val="0"/>
        <w:numPr>
          <w:ilvl w:val="0"/>
          <w:numId w:val="0"/>
        </w:numPr>
        <w:kinsoku/>
        <w:wordWrap w:val="0"/>
        <w:topLinePunct/>
        <w:autoSpaceDE/>
        <w:autoSpaceDN/>
        <w:spacing w:line="500" w:lineRule="exact"/>
        <w:ind w:firstLine="554"/>
        <w:jc w:val="both"/>
        <w:rPr>
          <w:rFonts w:hint="eastAsia" w:ascii="仿宋" w:hAnsi="仿宋" w:eastAsia="仿宋" w:cs="仿宋"/>
          <w:color w:val="auto"/>
          <w:spacing w:val="-2"/>
          <w:sz w:val="32"/>
          <w:szCs w:val="32"/>
          <w:highlight w:val="none"/>
          <w:lang w:val="en-US" w:eastAsia="zh-CN"/>
        </w:rPr>
      </w:pPr>
      <w:r>
        <w:rPr>
          <w:rFonts w:hint="eastAsia" w:ascii="仿宋" w:hAnsi="仿宋" w:eastAsia="仿宋" w:cs="仿宋"/>
          <w:b w:val="0"/>
          <w:bCs w:val="0"/>
          <w:color w:val="auto"/>
          <w:spacing w:val="-2"/>
          <w:sz w:val="32"/>
          <w:szCs w:val="32"/>
          <w:highlight w:val="none"/>
          <w:lang w:val="en-US" w:eastAsia="zh-CN"/>
        </w:rPr>
        <w:t>学校高度重视学生升学就业工作，为学生考研复习提供便利条件，为学生就业搭建平台，为学院体提供优质资源。学院充分</w:t>
      </w:r>
      <w:r>
        <w:rPr>
          <w:rFonts w:hint="eastAsia" w:ascii="仿宋" w:hAnsi="仿宋" w:eastAsia="仿宋" w:cs="仿宋"/>
          <w:b w:val="0"/>
          <w:bCs w:val="0"/>
          <w:color w:val="auto"/>
          <w:sz w:val="32"/>
          <w:szCs w:val="32"/>
          <w:highlight w:val="none"/>
          <w:lang w:eastAsia="zh-CN"/>
        </w:rPr>
        <w:t>发</w:t>
      </w:r>
      <w:r>
        <w:rPr>
          <w:rFonts w:hint="eastAsia" w:ascii="仿宋" w:hAnsi="仿宋" w:eastAsia="仿宋" w:cs="仿宋"/>
          <w:color w:val="auto"/>
          <w:sz w:val="32"/>
          <w:szCs w:val="32"/>
          <w:highlight w:val="none"/>
          <w:lang w:eastAsia="zh-CN"/>
        </w:rPr>
        <w:t>挥中外合作办学</w:t>
      </w:r>
      <w:r>
        <w:rPr>
          <w:rFonts w:hint="eastAsia" w:ascii="仿宋" w:hAnsi="仿宋" w:eastAsia="仿宋" w:cs="仿宋"/>
          <w:color w:val="auto"/>
          <w:sz w:val="32"/>
          <w:szCs w:val="32"/>
          <w:highlight w:val="none"/>
          <w:lang w:val="en-US" w:eastAsia="zh-CN"/>
        </w:rPr>
        <w:t>资源</w:t>
      </w:r>
      <w:r>
        <w:rPr>
          <w:rFonts w:hint="eastAsia" w:ascii="仿宋" w:hAnsi="仿宋" w:eastAsia="仿宋" w:cs="仿宋"/>
          <w:color w:val="auto"/>
          <w:sz w:val="32"/>
          <w:szCs w:val="32"/>
          <w:highlight w:val="none"/>
          <w:lang w:eastAsia="zh-CN"/>
        </w:rPr>
        <w:t>优势，</w:t>
      </w:r>
      <w:r>
        <w:rPr>
          <w:rFonts w:hint="eastAsia" w:ascii="仿宋" w:hAnsi="仿宋" w:eastAsia="仿宋" w:cs="仿宋"/>
          <w:color w:val="auto"/>
          <w:sz w:val="32"/>
          <w:szCs w:val="32"/>
          <w:highlight w:val="none"/>
          <w:lang w:val="en-US" w:eastAsia="zh-CN"/>
        </w:rPr>
        <w:t>积极构建多元化的升学和就业</w:t>
      </w:r>
      <w:r>
        <w:rPr>
          <w:rFonts w:hint="eastAsia" w:ascii="仿宋" w:hAnsi="仿宋" w:eastAsia="仿宋" w:cs="仿宋"/>
          <w:color w:val="auto"/>
          <w:sz w:val="32"/>
          <w:szCs w:val="32"/>
          <w:highlight w:val="none"/>
          <w:lang w:eastAsia="zh-CN"/>
        </w:rPr>
        <w:t>渠道，为学生创造更</w:t>
      </w:r>
      <w:r>
        <w:rPr>
          <w:rFonts w:hint="eastAsia" w:ascii="仿宋" w:hAnsi="仿宋" w:eastAsia="仿宋" w:cs="仿宋"/>
          <w:color w:val="auto"/>
          <w:sz w:val="32"/>
          <w:szCs w:val="32"/>
          <w:highlight w:val="none"/>
          <w:lang w:val="en-US" w:eastAsia="zh-CN"/>
        </w:rPr>
        <w:t>优质的</w:t>
      </w:r>
      <w:r>
        <w:rPr>
          <w:rFonts w:hint="eastAsia" w:ascii="仿宋" w:hAnsi="仿宋" w:eastAsia="仿宋" w:cs="仿宋"/>
          <w:color w:val="auto"/>
          <w:sz w:val="32"/>
          <w:szCs w:val="32"/>
          <w:highlight w:val="none"/>
          <w:lang w:eastAsia="zh-CN"/>
        </w:rPr>
        <w:t>发展条件。</w:t>
      </w:r>
      <w:r>
        <w:rPr>
          <w:rFonts w:hint="eastAsia" w:ascii="仿宋" w:hAnsi="仿宋" w:eastAsia="仿宋" w:cs="仿宋"/>
          <w:color w:val="auto"/>
          <w:spacing w:val="-2"/>
          <w:sz w:val="32"/>
          <w:szCs w:val="32"/>
          <w:highlight w:val="none"/>
          <w:lang w:val="en-US" w:eastAsia="zh-CN"/>
        </w:rPr>
        <w:t>由于学院2022年建院，2022年9月本科生开始招生，目前没有本科毕业生。</w:t>
      </w:r>
    </w:p>
    <w:p w14:paraId="7FA1BD72">
      <w:pPr>
        <w:pStyle w:val="2"/>
        <w:widowControl w:val="0"/>
        <w:kinsoku/>
        <w:wordWrap w:val="0"/>
        <w:topLinePunct/>
        <w:autoSpaceDE/>
        <w:autoSpaceDN/>
        <w:spacing w:line="500" w:lineRule="exact"/>
        <w:ind w:firstLine="632"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pacing w:val="-2"/>
          <w:sz w:val="32"/>
          <w:szCs w:val="32"/>
          <w:highlight w:val="none"/>
          <w:lang w:val="en-US" w:eastAsia="zh-CN"/>
        </w:rPr>
        <w:t>2024年有12名硕士研究生毕业生，其中，5名同学考入俄罗斯圣光机大学、东北师范大学等学校攻读博士；7名同学与中国电子科技集团第二十七研究所、安徽砺剑防务科技有限公司、韩国光州科学技术院、京东方等单位签署工作合同。</w:t>
      </w:r>
    </w:p>
    <w:p w14:paraId="79AC8FF8">
      <w:pPr>
        <w:pStyle w:val="2"/>
        <w:widowControl w:val="0"/>
        <w:kinsoku/>
        <w:wordWrap w:val="0"/>
        <w:topLinePunct/>
        <w:autoSpaceDE/>
        <w:autoSpaceDN/>
        <w:spacing w:line="500" w:lineRule="exact"/>
        <w:jc w:val="both"/>
        <w:rPr>
          <w:rFonts w:hint="eastAsia" w:ascii="仿宋" w:hAnsi="仿宋" w:eastAsia="仿宋" w:cs="仿宋"/>
          <w:color w:val="auto"/>
          <w:spacing w:val="-2"/>
          <w:sz w:val="32"/>
          <w:szCs w:val="32"/>
          <w:highlight w:val="none"/>
          <w:lang w:eastAsia="zh-CN"/>
        </w:rPr>
      </w:pPr>
      <w:r>
        <w:rPr>
          <w:rFonts w:hint="eastAsia" w:ascii="仿宋" w:hAnsi="仿宋" w:eastAsia="仿宋" w:cs="仿宋"/>
          <w:b/>
          <w:bCs/>
          <w:color w:val="auto"/>
          <w:spacing w:val="-2"/>
          <w:sz w:val="32"/>
          <w:szCs w:val="32"/>
          <w:highlight w:val="none"/>
          <w:lang w:val="en-US" w:eastAsia="zh-CN"/>
        </w:rPr>
        <w:t>四</w:t>
      </w:r>
      <w:r>
        <w:rPr>
          <w:rFonts w:hint="eastAsia" w:ascii="仿宋" w:hAnsi="仿宋" w:eastAsia="仿宋" w:cs="仿宋"/>
          <w:b/>
          <w:bCs/>
          <w:color w:val="auto"/>
          <w:spacing w:val="-2"/>
          <w:sz w:val="32"/>
          <w:szCs w:val="32"/>
          <w:highlight w:val="none"/>
          <w:lang w:eastAsia="zh-CN"/>
        </w:rPr>
        <w:t>、</w:t>
      </w:r>
      <w:r>
        <w:rPr>
          <w:rFonts w:hint="eastAsia" w:ascii="仿宋" w:hAnsi="仿宋" w:eastAsia="仿宋" w:cs="仿宋"/>
          <w:b/>
          <w:bCs/>
          <w:color w:val="auto"/>
          <w:spacing w:val="-5"/>
          <w:sz w:val="32"/>
          <w:szCs w:val="32"/>
          <w:highlight w:val="none"/>
          <w:lang w:eastAsia="zh-CN"/>
        </w:rPr>
        <w:t>组织管理情况</w:t>
      </w:r>
    </w:p>
    <w:p w14:paraId="237D7E04">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pacing w:val="-2"/>
          <w:sz w:val="32"/>
          <w:szCs w:val="32"/>
          <w:highlight w:val="none"/>
          <w:lang w:eastAsia="zh-CN"/>
        </w:rPr>
      </w:pPr>
      <w:r>
        <w:rPr>
          <w:rFonts w:hint="eastAsia" w:ascii="仿宋" w:hAnsi="仿宋" w:eastAsia="仿宋" w:cs="仿宋"/>
          <w:color w:val="auto"/>
          <w:sz w:val="32"/>
          <w:szCs w:val="32"/>
          <w:highlight w:val="none"/>
          <w:lang w:eastAsia="zh-CN"/>
        </w:rPr>
        <w:t>学院严格执行中外联合管理委员会制度，定期召开会议，强化顶层设计、明确发展方向，确保学院高质量内涵式发展。</w:t>
      </w:r>
    </w:p>
    <w:p w14:paraId="06B73ED2">
      <w:pPr>
        <w:pStyle w:val="2"/>
        <w:widowControl w:val="0"/>
        <w:numPr>
          <w:ilvl w:val="0"/>
          <w:numId w:val="0"/>
        </w:numPr>
        <w:kinsoku/>
        <w:wordWrap w:val="0"/>
        <w:topLinePunct/>
        <w:autoSpaceDE/>
        <w:autoSpaceDN/>
        <w:spacing w:line="500" w:lineRule="exact"/>
        <w:ind w:firstLine="620" w:firstLineChars="200"/>
        <w:jc w:val="both"/>
        <w:rPr>
          <w:rFonts w:hint="eastAsia" w:ascii="仿宋" w:hAnsi="仿宋" w:eastAsia="仿宋" w:cs="仿宋"/>
          <w:b w:val="0"/>
          <w:bCs w:val="0"/>
          <w:color w:val="auto"/>
          <w:spacing w:val="-5"/>
          <w:sz w:val="32"/>
          <w:szCs w:val="32"/>
          <w:highlight w:val="none"/>
          <w:lang w:eastAsia="zh-CN"/>
        </w:rPr>
      </w:pPr>
      <w:r>
        <w:rPr>
          <w:rFonts w:hint="eastAsia" w:ascii="仿宋" w:hAnsi="仿宋" w:eastAsia="仿宋" w:cs="仿宋"/>
          <w:b w:val="0"/>
          <w:bCs w:val="0"/>
          <w:color w:val="auto"/>
          <w:spacing w:val="-5"/>
          <w:sz w:val="32"/>
          <w:szCs w:val="32"/>
          <w:highlight w:val="none"/>
          <w:lang w:eastAsia="zh-CN"/>
        </w:rPr>
        <w:t>（</w:t>
      </w:r>
      <w:r>
        <w:rPr>
          <w:rFonts w:hint="eastAsia" w:ascii="仿宋" w:hAnsi="仿宋" w:eastAsia="仿宋" w:cs="仿宋"/>
          <w:b w:val="0"/>
          <w:bCs w:val="0"/>
          <w:color w:val="auto"/>
          <w:spacing w:val="-5"/>
          <w:sz w:val="32"/>
          <w:szCs w:val="32"/>
          <w:highlight w:val="none"/>
          <w:lang w:val="en-US" w:eastAsia="zh-CN"/>
        </w:rPr>
        <w:t>一</w:t>
      </w:r>
      <w:r>
        <w:rPr>
          <w:rFonts w:hint="eastAsia" w:ascii="仿宋" w:hAnsi="仿宋" w:eastAsia="仿宋" w:cs="仿宋"/>
          <w:b w:val="0"/>
          <w:bCs w:val="0"/>
          <w:color w:val="auto"/>
          <w:spacing w:val="-5"/>
          <w:sz w:val="32"/>
          <w:szCs w:val="32"/>
          <w:highlight w:val="none"/>
          <w:lang w:eastAsia="zh-CN"/>
        </w:rPr>
        <w:t>）联合管理体制机制运行情况</w:t>
      </w:r>
    </w:p>
    <w:p w14:paraId="0BCAC133">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学院不断强化中外齐抓共管，完善联合管理委员会制度。</w:t>
      </w:r>
      <w:r>
        <w:rPr>
          <w:rFonts w:hint="eastAsia" w:ascii="仿宋" w:hAnsi="仿宋" w:eastAsia="仿宋" w:cs="仿宋"/>
          <w:color w:val="auto"/>
          <w:sz w:val="32"/>
          <w:szCs w:val="32"/>
          <w:highlight w:val="none"/>
          <w:lang w:eastAsia="zh-CN"/>
        </w:rPr>
        <w:t>2024年，校长郝群率团访问圣光机大学，</w:t>
      </w:r>
      <w:r>
        <w:rPr>
          <w:rFonts w:hint="eastAsia" w:ascii="仿宋" w:hAnsi="仿宋" w:eastAsia="仿宋" w:cs="仿宋"/>
          <w:color w:val="auto"/>
          <w:sz w:val="32"/>
          <w:szCs w:val="32"/>
          <w:highlight w:val="none"/>
          <w:lang w:val="en-US" w:eastAsia="zh-CN"/>
        </w:rPr>
        <w:t>与俄方校长瓦西里耶夫</w:t>
      </w:r>
      <w:r>
        <w:rPr>
          <w:rFonts w:hint="eastAsia" w:ascii="仿宋" w:hAnsi="仿宋" w:eastAsia="仿宋" w:cs="仿宋"/>
          <w:color w:val="auto"/>
          <w:sz w:val="32"/>
          <w:szCs w:val="32"/>
          <w:highlight w:val="none"/>
          <w:lang w:eastAsia="zh-CN"/>
        </w:rPr>
        <w:t>召开中外联合管理委员会会议，并签署会议纪要。双方就</w:t>
      </w:r>
      <w:r>
        <w:rPr>
          <w:rFonts w:hint="eastAsia" w:ascii="仿宋" w:hAnsi="仿宋" w:eastAsia="仿宋" w:cs="仿宋"/>
          <w:color w:val="auto"/>
          <w:sz w:val="32"/>
          <w:szCs w:val="32"/>
          <w:highlight w:val="none"/>
          <w:lang w:val="en-US" w:eastAsia="zh-CN"/>
        </w:rPr>
        <w:t>保证教学质量、选派</w:t>
      </w:r>
      <w:r>
        <w:rPr>
          <w:rFonts w:hint="eastAsia" w:ascii="仿宋" w:hAnsi="仿宋" w:eastAsia="仿宋" w:cs="仿宋"/>
          <w:color w:val="auto"/>
          <w:sz w:val="32"/>
          <w:szCs w:val="32"/>
          <w:highlight w:val="none"/>
          <w:lang w:eastAsia="zh-CN"/>
        </w:rPr>
        <w:t>俄方</w:t>
      </w:r>
      <w:r>
        <w:rPr>
          <w:rFonts w:hint="eastAsia" w:ascii="仿宋" w:hAnsi="仿宋" w:eastAsia="仿宋" w:cs="仿宋"/>
          <w:color w:val="auto"/>
          <w:sz w:val="32"/>
          <w:szCs w:val="32"/>
          <w:highlight w:val="none"/>
          <w:lang w:val="en-US" w:eastAsia="zh-CN"/>
        </w:rPr>
        <w:t>优秀</w:t>
      </w:r>
      <w:r>
        <w:rPr>
          <w:rFonts w:hint="eastAsia" w:ascii="仿宋" w:hAnsi="仿宋" w:eastAsia="仿宋" w:cs="仿宋"/>
          <w:color w:val="auto"/>
          <w:sz w:val="32"/>
          <w:szCs w:val="32"/>
          <w:highlight w:val="none"/>
          <w:lang w:eastAsia="zh-CN"/>
        </w:rPr>
        <w:t>教师、博士生</w:t>
      </w:r>
      <w:r>
        <w:rPr>
          <w:rFonts w:hint="eastAsia" w:ascii="仿宋" w:hAnsi="仿宋" w:eastAsia="仿宋" w:cs="仿宋"/>
          <w:color w:val="auto"/>
          <w:sz w:val="32"/>
          <w:szCs w:val="32"/>
          <w:highlight w:val="none"/>
          <w:lang w:val="en-US" w:eastAsia="zh-CN"/>
        </w:rPr>
        <w:t>联合</w:t>
      </w:r>
      <w:r>
        <w:rPr>
          <w:rFonts w:hint="eastAsia" w:ascii="仿宋" w:hAnsi="仿宋" w:eastAsia="仿宋" w:cs="仿宋"/>
          <w:color w:val="auto"/>
          <w:sz w:val="32"/>
          <w:szCs w:val="32"/>
          <w:highlight w:val="none"/>
          <w:lang w:eastAsia="zh-CN"/>
        </w:rPr>
        <w:t>培养、</w:t>
      </w:r>
      <w:r>
        <w:rPr>
          <w:rFonts w:hint="eastAsia" w:ascii="仿宋" w:hAnsi="仿宋" w:eastAsia="仿宋" w:cs="仿宋"/>
          <w:color w:val="auto"/>
          <w:sz w:val="32"/>
          <w:szCs w:val="32"/>
          <w:highlight w:val="none"/>
          <w:lang w:val="en-US" w:eastAsia="zh-CN"/>
        </w:rPr>
        <w:t>推动</w:t>
      </w:r>
      <w:r>
        <w:rPr>
          <w:rFonts w:hint="eastAsia" w:ascii="仿宋" w:hAnsi="仿宋" w:eastAsia="仿宋" w:cs="仿宋"/>
          <w:color w:val="auto"/>
          <w:sz w:val="32"/>
          <w:szCs w:val="32"/>
          <w:highlight w:val="none"/>
          <w:lang w:eastAsia="zh-CN"/>
        </w:rPr>
        <w:t>联合科学研究等事宜达成一致。</w:t>
      </w:r>
    </w:p>
    <w:p w14:paraId="5CE30B0B">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建立教学例会制度，</w:t>
      </w:r>
      <w:r>
        <w:rPr>
          <w:rFonts w:hint="eastAsia" w:ascii="仿宋" w:hAnsi="仿宋" w:eastAsia="仿宋" w:cs="仿宋"/>
          <w:color w:val="auto"/>
          <w:sz w:val="32"/>
          <w:szCs w:val="32"/>
          <w:highlight w:val="none"/>
          <w:lang w:val="en-US" w:eastAsia="zh-CN"/>
        </w:rPr>
        <w:t>教学分委员会</w:t>
      </w:r>
      <w:r>
        <w:rPr>
          <w:rFonts w:hint="eastAsia" w:ascii="仿宋" w:hAnsi="仿宋" w:eastAsia="仿宋" w:cs="仿宋"/>
          <w:color w:val="auto"/>
          <w:sz w:val="32"/>
          <w:szCs w:val="32"/>
          <w:highlight w:val="none"/>
          <w:lang w:eastAsia="zh-CN"/>
        </w:rPr>
        <w:t>全年共召开中俄</w:t>
      </w:r>
      <w:r>
        <w:rPr>
          <w:rFonts w:hint="eastAsia" w:ascii="仿宋" w:hAnsi="仿宋" w:eastAsia="仿宋" w:cs="仿宋"/>
          <w:color w:val="auto"/>
          <w:sz w:val="32"/>
          <w:szCs w:val="32"/>
          <w:highlight w:val="none"/>
          <w:lang w:val="en-US" w:eastAsia="zh-CN"/>
        </w:rPr>
        <w:t>教师</w:t>
      </w:r>
      <w:r>
        <w:rPr>
          <w:rFonts w:hint="eastAsia" w:ascii="仿宋" w:hAnsi="仿宋" w:eastAsia="仿宋" w:cs="仿宋"/>
          <w:color w:val="auto"/>
          <w:sz w:val="32"/>
          <w:szCs w:val="32"/>
          <w:highlight w:val="none"/>
          <w:lang w:eastAsia="zh-CN"/>
        </w:rPr>
        <w:t>教学例会15次，随时解决教学过程中发现的问题，确保教学顺利进行。</w:t>
      </w:r>
    </w:p>
    <w:p w14:paraId="1C059D2E">
      <w:pPr>
        <w:pStyle w:val="2"/>
        <w:widowControl w:val="0"/>
        <w:numPr>
          <w:ilvl w:val="0"/>
          <w:numId w:val="0"/>
        </w:numPr>
        <w:kinsoku/>
        <w:wordWrap w:val="0"/>
        <w:topLinePunct/>
        <w:autoSpaceDE/>
        <w:autoSpaceDN/>
        <w:spacing w:line="500" w:lineRule="exact"/>
        <w:ind w:firstLine="620" w:firstLineChars="200"/>
        <w:jc w:val="both"/>
        <w:rPr>
          <w:rFonts w:hint="eastAsia" w:ascii="仿宋" w:hAnsi="仿宋" w:eastAsia="仿宋" w:cs="仿宋"/>
          <w:b w:val="0"/>
          <w:bCs w:val="0"/>
          <w:color w:val="auto"/>
          <w:spacing w:val="-5"/>
          <w:sz w:val="32"/>
          <w:szCs w:val="32"/>
          <w:highlight w:val="none"/>
          <w:lang w:eastAsia="zh-CN"/>
        </w:rPr>
      </w:pPr>
      <w:r>
        <w:rPr>
          <w:rFonts w:hint="eastAsia" w:ascii="仿宋" w:hAnsi="仿宋" w:eastAsia="仿宋" w:cs="仿宋"/>
          <w:b w:val="0"/>
          <w:bCs w:val="0"/>
          <w:snapToGrid w:val="0"/>
          <w:color w:val="auto"/>
          <w:spacing w:val="-5"/>
          <w:sz w:val="32"/>
          <w:szCs w:val="32"/>
          <w:highlight w:val="none"/>
          <w:lang w:val="en-US" w:eastAsia="zh-CN" w:bidi="ar-SA"/>
        </w:rPr>
        <w:t>（二）</w:t>
      </w:r>
      <w:r>
        <w:rPr>
          <w:rFonts w:hint="eastAsia" w:ascii="仿宋" w:hAnsi="仿宋" w:eastAsia="仿宋" w:cs="仿宋"/>
          <w:b w:val="0"/>
          <w:bCs w:val="0"/>
          <w:color w:val="auto"/>
          <w:spacing w:val="-5"/>
          <w:sz w:val="32"/>
          <w:szCs w:val="32"/>
          <w:highlight w:val="none"/>
          <w:lang w:eastAsia="zh-CN"/>
        </w:rPr>
        <w:t>制度建设</w:t>
      </w:r>
      <w:r>
        <w:rPr>
          <w:rFonts w:hint="eastAsia" w:ascii="仿宋" w:hAnsi="仿宋" w:eastAsia="仿宋" w:cs="仿宋"/>
          <w:b w:val="0"/>
          <w:bCs w:val="0"/>
          <w:color w:val="auto"/>
          <w:spacing w:val="-5"/>
          <w:sz w:val="32"/>
          <w:szCs w:val="32"/>
          <w:highlight w:val="none"/>
          <w:lang w:val="en-US" w:eastAsia="zh-CN"/>
        </w:rPr>
        <w:t>及</w:t>
      </w:r>
      <w:r>
        <w:rPr>
          <w:rFonts w:hint="eastAsia" w:ascii="仿宋" w:hAnsi="仿宋" w:eastAsia="仿宋" w:cs="仿宋"/>
          <w:b w:val="0"/>
          <w:bCs w:val="0"/>
          <w:color w:val="auto"/>
          <w:spacing w:val="-5"/>
          <w:sz w:val="32"/>
          <w:szCs w:val="32"/>
          <w:highlight w:val="none"/>
          <w:lang w:eastAsia="zh-CN"/>
        </w:rPr>
        <w:t>管理情况</w:t>
      </w:r>
    </w:p>
    <w:p w14:paraId="0EA2C1F2">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学院党委强调政治把关，强化意识形态管理，不断完善俄方教材审核流程，加强俄方教师在校授课期间管理，</w:t>
      </w:r>
      <w:r>
        <w:rPr>
          <w:rFonts w:hint="eastAsia" w:ascii="仿宋" w:hAnsi="仿宋" w:eastAsia="仿宋" w:cs="仿宋"/>
          <w:color w:val="auto"/>
          <w:sz w:val="32"/>
          <w:szCs w:val="32"/>
          <w:highlight w:val="none"/>
          <w:lang w:val="en-US" w:eastAsia="zh-CN"/>
        </w:rPr>
        <w:t>形成多部门联动机制，保证了学院安全稳定。</w:t>
      </w:r>
    </w:p>
    <w:p w14:paraId="66E2BCC3">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为了维护学校正常的教育教学秩序，保障学生合法权益，促进学生德、智、体、美、劳全面发展，提高教育教学质量，</w:t>
      </w:r>
      <w:r>
        <w:rPr>
          <w:rFonts w:hint="eastAsia" w:ascii="仿宋" w:hAnsi="仿宋" w:eastAsia="仿宋" w:cs="仿宋"/>
          <w:color w:val="auto"/>
          <w:sz w:val="32"/>
          <w:szCs w:val="32"/>
          <w:highlight w:val="none"/>
          <w:lang w:val="en-US" w:eastAsia="zh-CN"/>
        </w:rPr>
        <w:t>学院</w:t>
      </w:r>
      <w:r>
        <w:rPr>
          <w:rFonts w:hint="eastAsia" w:ascii="仿宋" w:hAnsi="仿宋" w:eastAsia="仿宋" w:cs="仿宋"/>
          <w:color w:val="auto"/>
          <w:sz w:val="32"/>
          <w:szCs w:val="32"/>
          <w:highlight w:val="none"/>
          <w:lang w:eastAsia="zh-CN"/>
        </w:rPr>
        <w:t>制定</w:t>
      </w:r>
      <w:r>
        <w:rPr>
          <w:rFonts w:hint="eastAsia" w:ascii="仿宋" w:hAnsi="仿宋" w:eastAsia="仿宋" w:cs="仿宋"/>
          <w:color w:val="auto"/>
          <w:sz w:val="32"/>
          <w:szCs w:val="32"/>
          <w:highlight w:val="none"/>
          <w:lang w:val="en-US" w:eastAsia="zh-CN"/>
        </w:rPr>
        <w:t>了</w:t>
      </w:r>
      <w:r>
        <w:rPr>
          <w:rFonts w:hint="eastAsia" w:ascii="仿宋" w:hAnsi="仿宋" w:eastAsia="仿宋" w:cs="仿宋"/>
          <w:color w:val="auto"/>
          <w:sz w:val="32"/>
          <w:szCs w:val="32"/>
          <w:highlight w:val="none"/>
          <w:lang w:eastAsia="zh-CN"/>
        </w:rPr>
        <w:t>《长春理工大学圣光机大学联合学院本科生学籍管理办法》《长春理工大学圣光机大学联合学院研究生管理办法》《长春理工大学圣光机大学联合学院志愿者管理办法》</w:t>
      </w:r>
      <w:r>
        <w:rPr>
          <w:rFonts w:hint="eastAsia" w:ascii="仿宋" w:hAnsi="仿宋" w:eastAsia="仿宋" w:cs="仿宋"/>
          <w:color w:val="auto"/>
          <w:sz w:val="32"/>
          <w:szCs w:val="32"/>
          <w:highlight w:val="none"/>
          <w:lang w:val="en-US" w:eastAsia="zh-CN"/>
        </w:rPr>
        <w:t>等多个管理文件，完善了学院制度建设。</w:t>
      </w:r>
    </w:p>
    <w:p w14:paraId="3A5D1CCF">
      <w:pPr>
        <w:pStyle w:val="2"/>
        <w:widowControl w:val="0"/>
        <w:kinsoku/>
        <w:wordWrap w:val="0"/>
        <w:topLinePunct/>
        <w:autoSpaceDE/>
        <w:autoSpaceDN/>
        <w:spacing w:line="500" w:lineRule="exact"/>
        <w:ind w:firstLine="620" w:firstLineChars="200"/>
        <w:jc w:val="both"/>
        <w:rPr>
          <w:rFonts w:hint="eastAsia" w:ascii="仿宋" w:hAnsi="仿宋" w:eastAsia="仿宋" w:cs="仿宋"/>
          <w:b w:val="0"/>
          <w:bCs w:val="0"/>
          <w:color w:val="auto"/>
          <w:spacing w:val="-5"/>
          <w:sz w:val="32"/>
          <w:szCs w:val="32"/>
          <w:highlight w:val="none"/>
          <w:lang w:eastAsia="zh-CN"/>
        </w:rPr>
      </w:pPr>
      <w:r>
        <w:rPr>
          <w:rFonts w:hint="eastAsia" w:ascii="仿宋" w:hAnsi="仿宋" w:eastAsia="仿宋" w:cs="仿宋"/>
          <w:b w:val="0"/>
          <w:bCs w:val="0"/>
          <w:color w:val="auto"/>
          <w:spacing w:val="-5"/>
          <w:sz w:val="32"/>
          <w:szCs w:val="32"/>
          <w:highlight w:val="none"/>
          <w:lang w:val="en-US" w:eastAsia="zh-CN"/>
        </w:rPr>
        <w:t>（三）</w:t>
      </w:r>
      <w:r>
        <w:rPr>
          <w:rFonts w:hint="eastAsia" w:ascii="仿宋" w:hAnsi="仿宋" w:eastAsia="仿宋" w:cs="仿宋"/>
          <w:b w:val="0"/>
          <w:bCs w:val="0"/>
          <w:color w:val="auto"/>
          <w:spacing w:val="-5"/>
          <w:sz w:val="32"/>
          <w:szCs w:val="32"/>
          <w:highlight w:val="none"/>
          <w:lang w:eastAsia="zh-CN"/>
        </w:rPr>
        <w:t>管理团队（</w:t>
      </w:r>
      <w:r>
        <w:rPr>
          <w:rFonts w:hint="eastAsia" w:ascii="仿宋" w:hAnsi="仿宋" w:eastAsia="仿宋" w:cs="仿宋"/>
          <w:b w:val="0"/>
          <w:bCs w:val="0"/>
          <w:color w:val="auto"/>
          <w:spacing w:val="-5"/>
          <w:sz w:val="32"/>
          <w:szCs w:val="32"/>
          <w:highlight w:val="none"/>
          <w:lang w:val="en-US" w:eastAsia="zh-CN"/>
        </w:rPr>
        <w:t>服务</w:t>
      </w:r>
      <w:r>
        <w:rPr>
          <w:rFonts w:hint="eastAsia" w:ascii="仿宋" w:hAnsi="仿宋" w:eastAsia="仿宋" w:cs="仿宋"/>
          <w:b w:val="0"/>
          <w:bCs w:val="0"/>
          <w:color w:val="auto"/>
          <w:spacing w:val="-5"/>
          <w:sz w:val="32"/>
          <w:szCs w:val="32"/>
          <w:highlight w:val="none"/>
          <w:lang w:eastAsia="zh-CN"/>
        </w:rPr>
        <w:t>）情况</w:t>
      </w:r>
    </w:p>
    <w:p w14:paraId="4A517817">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eastAsia="zh-CN"/>
        </w:rPr>
        <w:t>现有</w:t>
      </w:r>
      <w:r>
        <w:rPr>
          <w:rFonts w:hint="eastAsia" w:ascii="仿宋" w:hAnsi="仿宋" w:eastAsia="仿宋" w:cs="仿宋"/>
          <w:color w:val="auto"/>
          <w:sz w:val="32"/>
          <w:szCs w:val="32"/>
          <w:highlight w:val="none"/>
          <w:lang w:val="en-US" w:eastAsia="zh-CN"/>
        </w:rPr>
        <w:t>中俄</w:t>
      </w:r>
      <w:r>
        <w:rPr>
          <w:rFonts w:hint="eastAsia" w:ascii="仿宋" w:hAnsi="仿宋" w:eastAsia="仿宋" w:cs="仿宋"/>
          <w:color w:val="auto"/>
          <w:sz w:val="32"/>
          <w:szCs w:val="32"/>
          <w:highlight w:val="none"/>
          <w:lang w:eastAsia="zh-CN"/>
        </w:rPr>
        <w:t>管理人员共计</w:t>
      </w:r>
      <w:r>
        <w:rPr>
          <w:rFonts w:hint="eastAsia" w:ascii="仿宋" w:hAnsi="仿宋" w:eastAsia="仿宋" w:cs="仿宋"/>
          <w:color w:val="auto"/>
          <w:sz w:val="32"/>
          <w:szCs w:val="32"/>
          <w:highlight w:val="none"/>
          <w:lang w:val="en-US" w:eastAsia="zh-CN"/>
        </w:rPr>
        <w:t>19</w:t>
      </w:r>
      <w:r>
        <w:rPr>
          <w:rFonts w:hint="eastAsia" w:ascii="仿宋" w:hAnsi="仿宋" w:eastAsia="仿宋" w:cs="仿宋"/>
          <w:color w:val="auto"/>
          <w:sz w:val="32"/>
          <w:szCs w:val="32"/>
          <w:highlight w:val="none"/>
          <w:lang w:eastAsia="zh-CN"/>
        </w:rPr>
        <w:t>人，</w:t>
      </w:r>
      <w:r>
        <w:rPr>
          <w:rFonts w:hint="eastAsia" w:ascii="仿宋" w:hAnsi="仿宋" w:eastAsia="仿宋" w:cs="仿宋"/>
          <w:color w:val="auto"/>
          <w:sz w:val="32"/>
          <w:szCs w:val="32"/>
          <w:highlight w:val="none"/>
          <w:lang w:val="en-US" w:eastAsia="zh-CN"/>
        </w:rPr>
        <w:t>中方12人，俄方7人</w:t>
      </w:r>
      <w:r>
        <w:rPr>
          <w:rFonts w:hint="eastAsia" w:ascii="仿宋" w:hAnsi="仿宋" w:eastAsia="仿宋" w:cs="仿宋"/>
          <w:color w:val="auto"/>
          <w:sz w:val="32"/>
          <w:szCs w:val="32"/>
          <w:highlight w:val="none"/>
          <w:lang w:eastAsia="zh-CN"/>
        </w:rPr>
        <w:t>。由学校主管外事的副校长担任学院院长，全面统筹学院整体发展；俄方副院长由圣光机大学先进与统计学院首席教授阿列克塞·罗曼诺夫担任，主要负责对接俄方优质教育教学资源，协调中俄双方在学术研究、师资交流等方面的合作事宜；两名</w:t>
      </w:r>
      <w:r>
        <w:rPr>
          <w:rFonts w:hint="eastAsia" w:ascii="仿宋" w:hAnsi="仿宋" w:eastAsia="仿宋" w:cs="仿宋"/>
          <w:color w:val="auto"/>
          <w:sz w:val="32"/>
          <w:szCs w:val="32"/>
          <w:highlight w:val="none"/>
          <w:lang w:val="en-US" w:eastAsia="zh-CN"/>
        </w:rPr>
        <w:t>来自圣光机大学</w:t>
      </w:r>
      <w:r>
        <w:rPr>
          <w:rFonts w:hint="eastAsia" w:ascii="仿宋" w:hAnsi="仿宋" w:eastAsia="仿宋" w:cs="仿宋"/>
          <w:color w:val="auto"/>
          <w:sz w:val="32"/>
          <w:szCs w:val="32"/>
          <w:highlight w:val="none"/>
          <w:lang w:eastAsia="zh-CN"/>
        </w:rPr>
        <w:t>副院长</w:t>
      </w:r>
      <w:r>
        <w:rPr>
          <w:rFonts w:hint="eastAsia" w:ascii="仿宋" w:hAnsi="仿宋" w:eastAsia="仿宋" w:cs="仿宋"/>
          <w:color w:val="auto"/>
          <w:sz w:val="32"/>
          <w:szCs w:val="32"/>
          <w:highlight w:val="none"/>
          <w:lang w:val="en-US" w:eastAsia="zh-CN"/>
        </w:rPr>
        <w:t>担任专业负责人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负责</w:t>
      </w:r>
      <w:r>
        <w:rPr>
          <w:rFonts w:hint="eastAsia" w:ascii="仿宋" w:hAnsi="仿宋" w:eastAsia="仿宋" w:cs="仿宋"/>
          <w:color w:val="auto"/>
          <w:sz w:val="32"/>
          <w:szCs w:val="32"/>
          <w:highlight w:val="none"/>
          <w:lang w:eastAsia="zh-CN"/>
        </w:rPr>
        <w:t>推进专业课程体系建设、教学质量监督以及俄方师资协调等专项工作，为学院中外合作办学的规范化运营提供了坚实的组织保障。</w:t>
      </w:r>
      <w:r>
        <w:rPr>
          <w:rFonts w:hint="eastAsia" w:ascii="仿宋" w:hAnsi="仿宋" w:eastAsia="仿宋" w:cs="仿宋"/>
          <w:color w:val="auto"/>
          <w:sz w:val="32"/>
          <w:szCs w:val="32"/>
          <w:highlight w:val="none"/>
          <w:lang w:val="en-US" w:eastAsia="zh-CN"/>
        </w:rPr>
        <w:t>中方完善学院领导班子配置，党委书记主抓党建、学工、安全和意识形态工作，副书记专门负责学生工作，狠抓学风建设，为学院发展保驾护航；教学副院长依托中俄教学分委员会建立教学质量监督与保障长效机制，不断提升教学管理水平和教学质量。2024年学院办公室专门设置外事秘书岗位，负责俄方教师在华工作和生活的管理与服务。圣光机大学招聘2名中文翻译，负责来华授课教师的选派和服务等工作。</w:t>
      </w:r>
    </w:p>
    <w:p w14:paraId="63465380">
      <w:pPr>
        <w:pStyle w:val="2"/>
        <w:widowControl w:val="0"/>
        <w:kinsoku/>
        <w:wordWrap w:val="0"/>
        <w:topLinePunct/>
        <w:autoSpaceDE/>
        <w:autoSpaceDN/>
        <w:spacing w:line="500" w:lineRule="exact"/>
        <w:ind w:firstLine="620" w:firstLineChars="200"/>
        <w:jc w:val="both"/>
        <w:rPr>
          <w:rFonts w:hint="eastAsia" w:ascii="仿宋" w:hAnsi="仿宋" w:eastAsia="仿宋" w:cs="仿宋"/>
          <w:b w:val="0"/>
          <w:bCs w:val="0"/>
          <w:color w:val="auto"/>
          <w:spacing w:val="-5"/>
          <w:sz w:val="32"/>
          <w:szCs w:val="32"/>
          <w:highlight w:val="none"/>
          <w:lang w:eastAsia="zh-CN"/>
        </w:rPr>
      </w:pPr>
      <w:r>
        <w:rPr>
          <w:rFonts w:hint="eastAsia" w:ascii="仿宋" w:hAnsi="仿宋" w:eastAsia="仿宋" w:cs="仿宋"/>
          <w:b w:val="0"/>
          <w:bCs w:val="0"/>
          <w:color w:val="auto"/>
          <w:spacing w:val="-5"/>
          <w:sz w:val="32"/>
          <w:szCs w:val="32"/>
          <w:highlight w:val="none"/>
          <w:lang w:eastAsia="zh-CN"/>
        </w:rPr>
        <w:t>（</w:t>
      </w:r>
      <w:r>
        <w:rPr>
          <w:rFonts w:hint="eastAsia" w:ascii="仿宋" w:hAnsi="仿宋" w:eastAsia="仿宋" w:cs="仿宋"/>
          <w:b w:val="0"/>
          <w:bCs w:val="0"/>
          <w:color w:val="auto"/>
          <w:spacing w:val="-5"/>
          <w:sz w:val="32"/>
          <w:szCs w:val="32"/>
          <w:highlight w:val="none"/>
          <w:lang w:val="en-US" w:eastAsia="zh-CN"/>
        </w:rPr>
        <w:t>四</w:t>
      </w:r>
      <w:r>
        <w:rPr>
          <w:rFonts w:hint="eastAsia" w:ascii="仿宋" w:hAnsi="仿宋" w:eastAsia="仿宋" w:cs="仿宋"/>
          <w:b w:val="0"/>
          <w:bCs w:val="0"/>
          <w:color w:val="auto"/>
          <w:spacing w:val="-5"/>
          <w:sz w:val="32"/>
          <w:szCs w:val="32"/>
          <w:highlight w:val="none"/>
          <w:lang w:eastAsia="zh-CN"/>
        </w:rPr>
        <w:t>）推动就业情况</w:t>
      </w:r>
    </w:p>
    <w:p w14:paraId="6715D1D1">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学院领导班子带头开拓就业市场，有针对性地展开访企拓岗，同时组织学生积极参加学校组织的企业推介会。努力</w:t>
      </w:r>
      <w:r>
        <w:rPr>
          <w:rFonts w:hint="eastAsia" w:ascii="仿宋" w:hAnsi="仿宋" w:eastAsia="仿宋" w:cs="仿宋"/>
          <w:color w:val="auto"/>
          <w:sz w:val="32"/>
          <w:szCs w:val="32"/>
          <w:highlight w:val="none"/>
          <w:lang w:eastAsia="zh-CN"/>
        </w:rPr>
        <w:t>开拓中俄两国企业实习和就业机会，尤其在光电、电子科学与技术等优势专业领域，与跨国优质企业建立联系。借助俄方合作院校海外校友资源和就业平台，为有赴俄深造或就业意愿的学生提供信息咨询服务和渠道支持。期开展针对性</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lang w:eastAsia="zh-CN"/>
        </w:rPr>
        <w:t>就业指导，开设跨文化职场素养培训、涉外岗位求职技巧等课程，</w:t>
      </w:r>
      <w:r>
        <w:rPr>
          <w:rFonts w:hint="eastAsia" w:ascii="仿宋" w:hAnsi="仿宋" w:eastAsia="仿宋" w:cs="仿宋"/>
          <w:color w:val="auto"/>
          <w:sz w:val="32"/>
          <w:szCs w:val="32"/>
          <w:highlight w:val="none"/>
          <w:lang w:val="en-US" w:eastAsia="zh-CN"/>
        </w:rPr>
        <w:t>全面</w:t>
      </w:r>
      <w:r>
        <w:rPr>
          <w:rFonts w:hint="eastAsia" w:ascii="仿宋" w:hAnsi="仿宋" w:eastAsia="仿宋" w:cs="仿宋"/>
          <w:color w:val="auto"/>
          <w:sz w:val="32"/>
          <w:szCs w:val="32"/>
          <w:highlight w:val="none"/>
          <w:lang w:eastAsia="zh-CN"/>
        </w:rPr>
        <w:t>提升学生在国际化就业市场的竞争力，</w:t>
      </w:r>
      <w:r>
        <w:rPr>
          <w:rFonts w:hint="eastAsia" w:ascii="仿宋" w:hAnsi="仿宋" w:eastAsia="仿宋" w:cs="仿宋"/>
          <w:color w:val="auto"/>
          <w:sz w:val="32"/>
          <w:szCs w:val="32"/>
          <w:highlight w:val="none"/>
          <w:lang w:val="en-US" w:eastAsia="zh-CN"/>
        </w:rPr>
        <w:t>为其职业发展提供有力支撑。</w:t>
      </w:r>
      <w:r>
        <w:rPr>
          <w:rFonts w:hint="eastAsia" w:ascii="仿宋" w:hAnsi="仿宋" w:eastAsia="仿宋" w:cs="仿宋"/>
          <w:color w:val="auto"/>
          <w:sz w:val="32"/>
          <w:szCs w:val="32"/>
          <w:highlight w:val="none"/>
          <w:lang w:eastAsia="zh-CN"/>
        </w:rPr>
        <w:t>​</w:t>
      </w:r>
    </w:p>
    <w:p w14:paraId="3FA757BF">
      <w:pPr>
        <w:pStyle w:val="2"/>
        <w:widowControl w:val="0"/>
        <w:kinsoku/>
        <w:wordWrap w:val="0"/>
        <w:topLinePunct/>
        <w:autoSpaceDE/>
        <w:autoSpaceDN/>
        <w:spacing w:line="500" w:lineRule="exact"/>
        <w:ind w:firstLine="620" w:firstLineChars="200"/>
        <w:jc w:val="both"/>
        <w:rPr>
          <w:rFonts w:hint="eastAsia" w:ascii="仿宋" w:hAnsi="仿宋" w:eastAsia="仿宋" w:cs="仿宋"/>
          <w:b w:val="0"/>
          <w:bCs w:val="0"/>
          <w:color w:val="auto"/>
          <w:spacing w:val="-5"/>
          <w:sz w:val="32"/>
          <w:szCs w:val="32"/>
          <w:highlight w:val="none"/>
          <w:lang w:eastAsia="zh-CN"/>
        </w:rPr>
      </w:pPr>
      <w:r>
        <w:rPr>
          <w:rFonts w:hint="eastAsia" w:ascii="仿宋" w:hAnsi="仿宋" w:eastAsia="仿宋" w:cs="仿宋"/>
          <w:b w:val="0"/>
          <w:bCs w:val="0"/>
          <w:color w:val="auto"/>
          <w:spacing w:val="-5"/>
          <w:sz w:val="32"/>
          <w:szCs w:val="32"/>
          <w:highlight w:val="none"/>
          <w:lang w:eastAsia="zh-CN"/>
        </w:rPr>
        <w:t>（</w:t>
      </w:r>
      <w:r>
        <w:rPr>
          <w:rFonts w:hint="eastAsia" w:ascii="仿宋" w:hAnsi="仿宋" w:eastAsia="仿宋" w:cs="仿宋"/>
          <w:b w:val="0"/>
          <w:bCs w:val="0"/>
          <w:color w:val="auto"/>
          <w:spacing w:val="-5"/>
          <w:sz w:val="32"/>
          <w:szCs w:val="32"/>
          <w:highlight w:val="none"/>
          <w:lang w:val="en-US" w:eastAsia="zh-CN"/>
        </w:rPr>
        <w:t>五</w:t>
      </w:r>
      <w:r>
        <w:rPr>
          <w:rFonts w:hint="eastAsia" w:ascii="仿宋" w:hAnsi="仿宋" w:eastAsia="仿宋" w:cs="仿宋"/>
          <w:b w:val="0"/>
          <w:bCs w:val="0"/>
          <w:color w:val="auto"/>
          <w:spacing w:val="-5"/>
          <w:sz w:val="32"/>
          <w:szCs w:val="32"/>
          <w:highlight w:val="none"/>
          <w:lang w:eastAsia="zh-CN"/>
        </w:rPr>
        <w:t>）薄弱环节及下步举措</w:t>
      </w:r>
    </w:p>
    <w:p w14:paraId="07724DA5">
      <w:pPr>
        <w:pStyle w:val="2"/>
        <w:widowControl w:val="0"/>
        <w:kinsoku/>
        <w:wordWrap w:val="0"/>
        <w:topLinePunct/>
        <w:autoSpaceDE/>
        <w:autoSpaceDN/>
        <w:spacing w:line="500" w:lineRule="exact"/>
        <w:ind w:firstLine="620" w:firstLineChars="200"/>
        <w:jc w:val="both"/>
        <w:rPr>
          <w:rFonts w:hint="eastAsia" w:ascii="仿宋" w:hAnsi="仿宋" w:eastAsia="仿宋" w:cs="仿宋"/>
          <w:b w:val="0"/>
          <w:bCs w:val="0"/>
          <w:color w:val="auto"/>
          <w:spacing w:val="-5"/>
          <w:sz w:val="32"/>
          <w:szCs w:val="32"/>
          <w:highlight w:val="none"/>
          <w:lang w:eastAsia="zh-CN"/>
        </w:rPr>
      </w:pPr>
      <w:r>
        <w:rPr>
          <w:rFonts w:hint="eastAsia" w:ascii="仿宋" w:hAnsi="仿宋" w:eastAsia="仿宋" w:cs="仿宋"/>
          <w:b w:val="0"/>
          <w:bCs w:val="0"/>
          <w:color w:val="auto"/>
          <w:spacing w:val="-5"/>
          <w:sz w:val="32"/>
          <w:szCs w:val="32"/>
          <w:highlight w:val="none"/>
          <w:lang w:val="en-US" w:eastAsia="zh-CN"/>
        </w:rPr>
        <w:t>1.</w:t>
      </w:r>
      <w:r>
        <w:rPr>
          <w:rFonts w:hint="eastAsia" w:ascii="仿宋" w:hAnsi="仿宋" w:eastAsia="仿宋" w:cs="仿宋"/>
          <w:b w:val="0"/>
          <w:bCs w:val="0"/>
          <w:color w:val="auto"/>
          <w:spacing w:val="-5"/>
          <w:sz w:val="32"/>
          <w:szCs w:val="32"/>
          <w:highlight w:val="none"/>
          <w:lang w:eastAsia="zh-CN"/>
        </w:rPr>
        <w:t>薄弱环节</w:t>
      </w:r>
    </w:p>
    <w:p w14:paraId="5914EDAD">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由于学院成立时间较短，中外合作办学机构管理经验相对欠缺，国际化</w:t>
      </w:r>
      <w:r>
        <w:rPr>
          <w:rFonts w:hint="eastAsia" w:ascii="仿宋" w:hAnsi="仿宋" w:eastAsia="仿宋" w:cs="仿宋"/>
          <w:color w:val="auto"/>
          <w:sz w:val="32"/>
          <w:szCs w:val="32"/>
          <w:highlight w:val="none"/>
          <w:lang w:val="en-US" w:eastAsia="zh-CN"/>
        </w:rPr>
        <w:t>办学组织和</w:t>
      </w:r>
      <w:r>
        <w:rPr>
          <w:rFonts w:hint="eastAsia" w:ascii="仿宋" w:hAnsi="仿宋" w:eastAsia="仿宋" w:cs="仿宋"/>
          <w:color w:val="auto"/>
          <w:sz w:val="32"/>
          <w:szCs w:val="32"/>
          <w:highlight w:val="none"/>
          <w:lang w:eastAsia="zh-CN"/>
        </w:rPr>
        <w:t>管理水平有待提升；</w:t>
      </w:r>
    </w:p>
    <w:p w14:paraId="57EC2B20">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学院目前没有本科毕业生，在学生就业指导、访企拓岗、考研升学等方面需要加强学习和提升。</w:t>
      </w:r>
    </w:p>
    <w:p w14:paraId="59A6731F">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lang w:eastAsia="zh-CN"/>
        </w:rPr>
        <w:t>下步举措</w:t>
      </w:r>
    </w:p>
    <w:p w14:paraId="3B5D0584">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加强管理人员的学习与培训，通过考察、参观、调研等方式提升自身业务能力和管理水平；发挥中俄两校资源优势，进一步深化校企校际合作，拓展国内外就业基地，为学生提供定制化就业服务。</w:t>
      </w:r>
    </w:p>
    <w:p w14:paraId="19773C1E">
      <w:pPr>
        <w:pStyle w:val="2"/>
        <w:widowControl w:val="0"/>
        <w:kinsoku/>
        <w:wordWrap w:val="0"/>
        <w:topLinePunct/>
        <w:autoSpaceDE/>
        <w:autoSpaceDN/>
        <w:spacing w:line="500" w:lineRule="exact"/>
        <w:jc w:val="both"/>
        <w:rPr>
          <w:rFonts w:hint="eastAsia" w:ascii="仿宋" w:hAnsi="仿宋" w:eastAsia="仿宋" w:cs="仿宋"/>
          <w:color w:val="auto"/>
          <w:spacing w:val="-5"/>
          <w:sz w:val="32"/>
          <w:szCs w:val="32"/>
          <w:highlight w:val="none"/>
          <w:lang w:eastAsia="zh-CN"/>
        </w:rPr>
      </w:pPr>
      <w:r>
        <w:rPr>
          <w:rFonts w:hint="eastAsia" w:ascii="仿宋" w:hAnsi="仿宋" w:eastAsia="仿宋" w:cs="仿宋"/>
          <w:b/>
          <w:bCs/>
          <w:color w:val="auto"/>
          <w:spacing w:val="-5"/>
          <w:sz w:val="32"/>
          <w:szCs w:val="32"/>
          <w:highlight w:val="none"/>
          <w:lang w:val="en-US" w:eastAsia="zh-CN"/>
        </w:rPr>
        <w:t>五</w:t>
      </w:r>
      <w:r>
        <w:rPr>
          <w:rFonts w:hint="eastAsia" w:ascii="仿宋" w:hAnsi="仿宋" w:eastAsia="仿宋" w:cs="仿宋"/>
          <w:b/>
          <w:bCs/>
          <w:color w:val="auto"/>
          <w:spacing w:val="-5"/>
          <w:sz w:val="32"/>
          <w:szCs w:val="32"/>
          <w:highlight w:val="none"/>
          <w:lang w:eastAsia="zh-CN"/>
        </w:rPr>
        <w:t>、依法办学及办学规范性情况</w:t>
      </w:r>
    </w:p>
    <w:p w14:paraId="4CB7C9C3">
      <w:pPr>
        <w:pStyle w:val="2"/>
        <w:widowControl w:val="0"/>
        <w:kinsoku/>
        <w:wordWrap w:val="0"/>
        <w:topLinePunct/>
        <w:autoSpaceDE/>
        <w:autoSpaceDN/>
        <w:spacing w:line="500" w:lineRule="exact"/>
        <w:ind w:firstLine="620" w:firstLineChars="200"/>
        <w:jc w:val="both"/>
        <w:rPr>
          <w:rFonts w:hint="eastAsia" w:ascii="仿宋" w:hAnsi="仿宋" w:eastAsia="仿宋" w:cs="仿宋"/>
          <w:color w:val="auto"/>
          <w:spacing w:val="-5"/>
          <w:sz w:val="32"/>
          <w:szCs w:val="32"/>
          <w:highlight w:val="none"/>
          <w:lang w:eastAsia="zh-CN"/>
        </w:rPr>
      </w:pPr>
      <w:r>
        <w:rPr>
          <w:rFonts w:hint="eastAsia" w:ascii="仿宋" w:hAnsi="仿宋" w:eastAsia="仿宋" w:cs="仿宋"/>
          <w:color w:val="auto"/>
          <w:spacing w:val="-5"/>
          <w:sz w:val="32"/>
          <w:szCs w:val="32"/>
          <w:highlight w:val="none"/>
          <w:lang w:eastAsia="zh-CN"/>
        </w:rPr>
        <w:t>学院始终</w:t>
      </w:r>
      <w:r>
        <w:rPr>
          <w:rFonts w:hint="eastAsia" w:ascii="仿宋" w:hAnsi="仿宋" w:eastAsia="仿宋" w:cs="仿宋"/>
          <w:color w:val="auto"/>
          <w:spacing w:val="-5"/>
          <w:sz w:val="32"/>
          <w:szCs w:val="32"/>
          <w:highlight w:val="none"/>
          <w:lang w:val="en-US" w:eastAsia="zh-CN"/>
        </w:rPr>
        <w:t>遵循</w:t>
      </w:r>
      <w:r>
        <w:rPr>
          <w:rFonts w:hint="eastAsia" w:ascii="仿宋" w:hAnsi="仿宋" w:eastAsia="仿宋" w:cs="仿宋"/>
          <w:color w:val="auto"/>
          <w:spacing w:val="-5"/>
          <w:sz w:val="32"/>
          <w:szCs w:val="32"/>
          <w:highlight w:val="none"/>
          <w:lang w:eastAsia="zh-CN"/>
        </w:rPr>
        <w:t>《中华人民共和国高等教育法》</w:t>
      </w:r>
      <w:r>
        <w:rPr>
          <w:rFonts w:hint="eastAsia" w:ascii="仿宋" w:hAnsi="仿宋" w:eastAsia="仿宋" w:cs="仿宋"/>
          <w:color w:val="auto"/>
          <w:spacing w:val="-5"/>
          <w:sz w:val="32"/>
          <w:szCs w:val="32"/>
          <w:highlight w:val="none"/>
          <w:lang w:val="en-US" w:eastAsia="zh-CN"/>
        </w:rPr>
        <w:t>和</w:t>
      </w:r>
      <w:r>
        <w:rPr>
          <w:rFonts w:hint="eastAsia" w:ascii="仿宋" w:hAnsi="仿宋" w:eastAsia="仿宋" w:cs="仿宋"/>
          <w:color w:val="auto"/>
          <w:spacing w:val="-5"/>
          <w:sz w:val="32"/>
          <w:szCs w:val="32"/>
          <w:highlight w:val="none"/>
          <w:lang w:eastAsia="zh-CN"/>
        </w:rPr>
        <w:t>《中华人民共和国中外合作办学条例》等法律法规，</w:t>
      </w:r>
      <w:r>
        <w:rPr>
          <w:rFonts w:hint="eastAsia" w:ascii="仿宋" w:hAnsi="仿宋" w:eastAsia="仿宋" w:cs="仿宋"/>
          <w:color w:val="auto"/>
          <w:spacing w:val="-5"/>
          <w:sz w:val="32"/>
          <w:szCs w:val="32"/>
          <w:highlight w:val="none"/>
          <w:lang w:val="en-US" w:eastAsia="zh-CN"/>
        </w:rPr>
        <w:t>确保</w:t>
      </w:r>
      <w:r>
        <w:rPr>
          <w:rFonts w:hint="eastAsia" w:ascii="仿宋" w:hAnsi="仿宋" w:eastAsia="仿宋" w:cs="仿宋"/>
          <w:color w:val="auto"/>
          <w:spacing w:val="-5"/>
          <w:sz w:val="32"/>
          <w:szCs w:val="32"/>
          <w:highlight w:val="none"/>
          <w:lang w:eastAsia="zh-CN"/>
        </w:rPr>
        <w:t>依法办学、规范办学贯穿</w:t>
      </w:r>
      <w:r>
        <w:rPr>
          <w:rFonts w:hint="eastAsia" w:ascii="仿宋" w:hAnsi="仿宋" w:eastAsia="仿宋" w:cs="仿宋"/>
          <w:color w:val="auto"/>
          <w:spacing w:val="-5"/>
          <w:sz w:val="32"/>
          <w:szCs w:val="32"/>
          <w:highlight w:val="none"/>
          <w:lang w:val="en-US" w:eastAsia="zh-CN"/>
        </w:rPr>
        <w:t>于整个教育活动，</w:t>
      </w:r>
      <w:r>
        <w:rPr>
          <w:rFonts w:hint="eastAsia" w:ascii="仿宋" w:hAnsi="仿宋" w:eastAsia="仿宋" w:cs="仿宋"/>
          <w:color w:val="auto"/>
          <w:spacing w:val="-5"/>
          <w:sz w:val="32"/>
          <w:szCs w:val="32"/>
          <w:highlight w:val="none"/>
          <w:lang w:eastAsia="zh-CN"/>
        </w:rPr>
        <w:t>维护严谨有序的办学秩序。</w:t>
      </w:r>
      <w:r>
        <w:rPr>
          <w:rFonts w:hint="eastAsia" w:ascii="仿宋" w:hAnsi="仿宋" w:eastAsia="仿宋" w:cs="仿宋"/>
          <w:color w:val="auto"/>
          <w:spacing w:val="-5"/>
          <w:sz w:val="32"/>
          <w:szCs w:val="32"/>
          <w:highlight w:val="none"/>
          <w:lang w:val="en-US" w:eastAsia="zh-CN"/>
        </w:rPr>
        <w:t xml:space="preserve">    </w:t>
      </w:r>
      <w:r>
        <w:rPr>
          <w:rFonts w:hint="eastAsia" w:ascii="仿宋" w:hAnsi="仿宋" w:eastAsia="仿宋" w:cs="仿宋"/>
          <w:color w:val="auto"/>
          <w:spacing w:val="-5"/>
          <w:sz w:val="32"/>
          <w:szCs w:val="32"/>
          <w:highlight w:val="none"/>
          <w:lang w:eastAsia="zh-CN"/>
        </w:rPr>
        <w:t>在招生管理方面，学院严格按照教育主管部门核定的招生计划开展招录工作，招生规模、招生范围、录取标准均符合国家及两校约定的要求，不存在超规模招生、违规扩招等情况，也未发现任何中介机构或个人参与招生录取环节。​</w:t>
      </w:r>
    </w:p>
    <w:p w14:paraId="51BCD92D">
      <w:pPr>
        <w:pStyle w:val="2"/>
        <w:widowControl w:val="0"/>
        <w:kinsoku/>
        <w:wordWrap w:val="0"/>
        <w:topLinePunct/>
        <w:autoSpaceDE/>
        <w:autoSpaceDN/>
        <w:spacing w:line="500" w:lineRule="exact"/>
        <w:ind w:firstLine="620" w:firstLineChars="200"/>
        <w:jc w:val="both"/>
        <w:rPr>
          <w:rFonts w:hint="eastAsia" w:ascii="仿宋" w:hAnsi="仿宋" w:eastAsia="仿宋" w:cs="仿宋"/>
          <w:color w:val="auto"/>
          <w:spacing w:val="-5"/>
          <w:sz w:val="32"/>
          <w:szCs w:val="32"/>
          <w:highlight w:val="none"/>
          <w:lang w:eastAsia="zh-CN"/>
        </w:rPr>
      </w:pPr>
      <w:r>
        <w:rPr>
          <w:rFonts w:hint="eastAsia" w:ascii="仿宋" w:hAnsi="仿宋" w:eastAsia="仿宋" w:cs="仿宋"/>
          <w:color w:val="auto"/>
          <w:spacing w:val="-5"/>
          <w:sz w:val="32"/>
          <w:szCs w:val="32"/>
          <w:highlight w:val="none"/>
          <w:lang w:eastAsia="zh-CN"/>
        </w:rPr>
        <w:t>中俄两校有着深厚的友谊和坚实的合作基础，双方精诚合作，携手共进，按照共同确定的人才培养目标和培养方案，开展教育教学活动。未擅自调整培养目标、课程体系与教学模式，确保了人才培养的连贯性与一致性。​</w:t>
      </w:r>
    </w:p>
    <w:p w14:paraId="75FB847A">
      <w:pPr>
        <w:pStyle w:val="2"/>
        <w:widowControl w:val="0"/>
        <w:kinsoku/>
        <w:wordWrap w:val="0"/>
        <w:topLinePunct/>
        <w:autoSpaceDE/>
        <w:autoSpaceDN/>
        <w:spacing w:line="500" w:lineRule="exact"/>
        <w:ind w:firstLine="620" w:firstLineChars="200"/>
        <w:jc w:val="both"/>
        <w:rPr>
          <w:rFonts w:hint="eastAsia" w:ascii="仿宋" w:hAnsi="仿宋" w:eastAsia="仿宋" w:cs="仿宋"/>
          <w:color w:val="auto"/>
          <w:spacing w:val="-5"/>
          <w:sz w:val="32"/>
          <w:szCs w:val="32"/>
          <w:highlight w:val="none"/>
          <w:lang w:eastAsia="zh-CN"/>
        </w:rPr>
      </w:pPr>
      <w:r>
        <w:rPr>
          <w:rFonts w:hint="eastAsia" w:ascii="仿宋" w:hAnsi="仿宋" w:eastAsia="仿宋" w:cs="仿宋"/>
          <w:color w:val="auto"/>
          <w:spacing w:val="-5"/>
          <w:sz w:val="32"/>
          <w:szCs w:val="32"/>
          <w:highlight w:val="none"/>
          <w:lang w:eastAsia="zh-CN"/>
        </w:rPr>
        <w:t>在教材使用与教学管理层面，学院建立了严格的境外教材审核备案机制，所有引进的境外教材均需经过严格审核。</w:t>
      </w:r>
      <w:r>
        <w:rPr>
          <w:rFonts w:hint="eastAsia" w:ascii="仿宋" w:hAnsi="仿宋" w:eastAsia="仿宋" w:cs="仿宋"/>
          <w:color w:val="auto"/>
          <w:spacing w:val="-5"/>
          <w:sz w:val="32"/>
          <w:szCs w:val="32"/>
          <w:highlight w:val="none"/>
          <w:lang w:val="en-US" w:eastAsia="zh-CN"/>
        </w:rPr>
        <w:t>学院</w:t>
      </w:r>
      <w:r>
        <w:rPr>
          <w:rFonts w:hint="eastAsia" w:ascii="仿宋" w:hAnsi="仿宋" w:eastAsia="仿宋" w:cs="仿宋"/>
          <w:color w:val="auto"/>
          <w:spacing w:val="-5"/>
          <w:sz w:val="32"/>
          <w:szCs w:val="32"/>
          <w:highlight w:val="none"/>
          <w:lang w:eastAsia="zh-CN"/>
        </w:rPr>
        <w:t>无违规使用境外教材的现象。</w:t>
      </w:r>
    </w:p>
    <w:p w14:paraId="795B8CB5">
      <w:pPr>
        <w:pStyle w:val="2"/>
        <w:widowControl w:val="0"/>
        <w:kinsoku/>
        <w:wordWrap w:val="0"/>
        <w:topLinePunct/>
        <w:autoSpaceDE/>
        <w:autoSpaceDN/>
        <w:spacing w:line="500" w:lineRule="exact"/>
        <w:ind w:firstLine="620" w:firstLineChars="200"/>
        <w:jc w:val="both"/>
        <w:rPr>
          <w:rFonts w:hint="eastAsia" w:ascii="仿宋" w:hAnsi="仿宋" w:eastAsia="仿宋" w:cs="仿宋"/>
          <w:color w:val="auto"/>
          <w:spacing w:val="-5"/>
          <w:sz w:val="32"/>
          <w:szCs w:val="32"/>
          <w:highlight w:val="none"/>
          <w:lang w:eastAsia="zh-CN"/>
        </w:rPr>
      </w:pPr>
      <w:r>
        <w:rPr>
          <w:rFonts w:hint="eastAsia" w:ascii="仿宋" w:hAnsi="仿宋" w:eastAsia="仿宋" w:cs="仿宋"/>
          <w:color w:val="auto"/>
          <w:spacing w:val="-5"/>
          <w:sz w:val="32"/>
          <w:szCs w:val="32"/>
          <w:highlight w:val="none"/>
          <w:lang w:eastAsia="zh-CN"/>
        </w:rPr>
        <w:t>人才培养核心环节均由两校师资及管理团队主导，未出现中介介入教学管理、课程设置等关键环节的情况。经学校多轮常态化监管与专项督查，学院办学各环节合法合规，无任何违规问题及整改事项。</w:t>
      </w:r>
    </w:p>
    <w:p w14:paraId="48678ECD">
      <w:pPr>
        <w:pStyle w:val="2"/>
        <w:widowControl w:val="0"/>
        <w:kinsoku/>
        <w:wordWrap w:val="0"/>
        <w:topLinePunct/>
        <w:autoSpaceDE/>
        <w:autoSpaceDN/>
        <w:spacing w:line="500" w:lineRule="exact"/>
        <w:jc w:val="both"/>
        <w:rPr>
          <w:rFonts w:hint="eastAsia" w:ascii="仿宋" w:hAnsi="仿宋" w:eastAsia="仿宋" w:cs="仿宋"/>
          <w:color w:val="auto"/>
          <w:spacing w:val="-8"/>
          <w:sz w:val="32"/>
          <w:szCs w:val="32"/>
          <w:highlight w:val="none"/>
          <w:lang w:eastAsia="zh-CN"/>
        </w:rPr>
      </w:pPr>
      <w:r>
        <w:rPr>
          <w:rFonts w:hint="eastAsia" w:ascii="仿宋" w:hAnsi="仿宋" w:eastAsia="仿宋" w:cs="仿宋"/>
          <w:b/>
          <w:bCs/>
          <w:color w:val="auto"/>
          <w:spacing w:val="-8"/>
          <w:sz w:val="32"/>
          <w:szCs w:val="32"/>
          <w:highlight w:val="none"/>
          <w:lang w:val="en-US" w:eastAsia="zh-CN"/>
        </w:rPr>
        <w:t>六</w:t>
      </w:r>
      <w:r>
        <w:rPr>
          <w:rFonts w:hint="eastAsia" w:ascii="仿宋" w:hAnsi="仿宋" w:eastAsia="仿宋" w:cs="仿宋"/>
          <w:b/>
          <w:bCs/>
          <w:color w:val="auto"/>
          <w:spacing w:val="-8"/>
          <w:sz w:val="32"/>
          <w:szCs w:val="32"/>
          <w:highlight w:val="none"/>
          <w:lang w:eastAsia="zh-CN"/>
        </w:rPr>
        <w:t>、</w:t>
      </w:r>
      <w:r>
        <w:rPr>
          <w:rFonts w:hint="eastAsia" w:ascii="仿宋" w:hAnsi="仿宋" w:eastAsia="仿宋" w:cs="仿宋"/>
          <w:b/>
          <w:bCs/>
          <w:color w:val="auto"/>
          <w:spacing w:val="-5"/>
          <w:sz w:val="32"/>
          <w:szCs w:val="32"/>
          <w:highlight w:val="none"/>
          <w:lang w:eastAsia="zh-CN"/>
        </w:rPr>
        <w:t>合作办学辐射成果</w:t>
      </w:r>
    </w:p>
    <w:p w14:paraId="09DDF185">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自办学以来，中俄两校</w:t>
      </w:r>
      <w:r>
        <w:rPr>
          <w:rFonts w:hint="eastAsia" w:ascii="仿宋" w:hAnsi="仿宋" w:eastAsia="仿宋" w:cs="仿宋"/>
          <w:color w:val="auto"/>
          <w:sz w:val="32"/>
          <w:szCs w:val="32"/>
          <w:highlight w:val="none"/>
          <w:lang w:val="en-US" w:eastAsia="zh-CN"/>
        </w:rPr>
        <w:t>便</w:t>
      </w:r>
      <w:r>
        <w:rPr>
          <w:rFonts w:hint="eastAsia" w:ascii="仿宋" w:hAnsi="仿宋" w:eastAsia="仿宋" w:cs="仿宋"/>
          <w:color w:val="auto"/>
          <w:sz w:val="32"/>
          <w:szCs w:val="32"/>
          <w:highlight w:val="none"/>
          <w:lang w:eastAsia="zh-CN"/>
        </w:rPr>
        <w:t>在教育科技合作、人文交流等领域持续</w:t>
      </w:r>
      <w:r>
        <w:rPr>
          <w:rFonts w:hint="eastAsia" w:ascii="仿宋" w:hAnsi="仿宋" w:eastAsia="仿宋" w:cs="仿宋"/>
          <w:color w:val="auto"/>
          <w:sz w:val="32"/>
          <w:szCs w:val="32"/>
          <w:highlight w:val="none"/>
          <w:lang w:val="en-US" w:eastAsia="zh-CN"/>
        </w:rPr>
        <w:t>耕耘</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结出</w:t>
      </w:r>
      <w:r>
        <w:rPr>
          <w:rFonts w:hint="eastAsia" w:ascii="仿宋" w:hAnsi="仿宋" w:eastAsia="仿宋" w:cs="仿宋"/>
          <w:color w:val="auto"/>
          <w:sz w:val="32"/>
          <w:szCs w:val="32"/>
          <w:highlight w:val="none"/>
          <w:lang w:eastAsia="zh-CN"/>
        </w:rPr>
        <w:t>一系列</w:t>
      </w:r>
      <w:r>
        <w:rPr>
          <w:rFonts w:hint="eastAsia" w:ascii="仿宋" w:hAnsi="仿宋" w:eastAsia="仿宋" w:cs="仿宋"/>
          <w:color w:val="auto"/>
          <w:sz w:val="32"/>
          <w:szCs w:val="32"/>
          <w:highlight w:val="none"/>
          <w:lang w:val="en-US" w:eastAsia="zh-CN"/>
        </w:rPr>
        <w:t>丰硕</w:t>
      </w:r>
      <w:r>
        <w:rPr>
          <w:rFonts w:hint="eastAsia" w:ascii="仿宋" w:hAnsi="仿宋" w:eastAsia="仿宋" w:cs="仿宋"/>
          <w:color w:val="auto"/>
          <w:sz w:val="32"/>
          <w:szCs w:val="32"/>
          <w:highlight w:val="none"/>
          <w:lang w:eastAsia="zh-CN"/>
        </w:rPr>
        <w:t>成果，为深化两国教育文化交融搭建起坚实桥梁。</w:t>
      </w:r>
    </w:p>
    <w:p w14:paraId="3EC8F501">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圣光机大学每年派往长春理工大学授课的教师达到百余名，两校为在长授课教师提供良好的教学环境和优质的生活服务，</w:t>
      </w:r>
      <w:r>
        <w:rPr>
          <w:rFonts w:hint="eastAsia" w:ascii="仿宋" w:hAnsi="仿宋" w:eastAsia="仿宋" w:cs="仿宋"/>
          <w:color w:val="auto"/>
          <w:sz w:val="32"/>
          <w:szCs w:val="32"/>
          <w:highlight w:val="none"/>
          <w:lang w:val="en-US" w:eastAsia="zh-CN"/>
        </w:rPr>
        <w:t>指派专人负责来华教师的机场接送、校园教学引领、课堂教学和实践课程辅助、市内行业企业参观调研以及文化活动组织等等</w:t>
      </w:r>
      <w:r>
        <w:rPr>
          <w:rFonts w:hint="eastAsia" w:ascii="仿宋" w:hAnsi="仿宋" w:eastAsia="仿宋" w:cs="仿宋"/>
          <w:color w:val="auto"/>
          <w:sz w:val="32"/>
          <w:szCs w:val="32"/>
          <w:highlight w:val="none"/>
          <w:lang w:eastAsia="zh-CN"/>
        </w:rPr>
        <w:t>。圣光机大学在本校设立专门的中文教学中心，</w:t>
      </w:r>
      <w:r>
        <w:rPr>
          <w:rFonts w:hint="eastAsia" w:ascii="仿宋" w:hAnsi="仿宋" w:eastAsia="仿宋" w:cs="仿宋"/>
          <w:color w:val="auto"/>
          <w:sz w:val="32"/>
          <w:szCs w:val="32"/>
          <w:highlight w:val="none"/>
          <w:lang w:val="en-US" w:eastAsia="zh-CN"/>
        </w:rPr>
        <w:t>聘请教师</w:t>
      </w:r>
      <w:r>
        <w:rPr>
          <w:rFonts w:hint="eastAsia" w:ascii="仿宋" w:hAnsi="仿宋" w:eastAsia="仿宋" w:cs="仿宋"/>
          <w:color w:val="auto"/>
          <w:sz w:val="32"/>
          <w:szCs w:val="32"/>
          <w:highlight w:val="none"/>
          <w:lang w:eastAsia="zh-CN"/>
        </w:rPr>
        <w:t>开设中国语言与文化课程，有效提升了俄方教师的汉语水平，</w:t>
      </w:r>
      <w:r>
        <w:rPr>
          <w:rFonts w:hint="eastAsia" w:ascii="仿宋" w:hAnsi="仿宋" w:eastAsia="仿宋" w:cs="仿宋"/>
          <w:color w:val="auto"/>
          <w:sz w:val="32"/>
          <w:szCs w:val="32"/>
          <w:highlight w:val="none"/>
          <w:lang w:val="en-US" w:eastAsia="zh-CN"/>
        </w:rPr>
        <w:t>促进了中俄文化融合</w:t>
      </w:r>
      <w:r>
        <w:rPr>
          <w:rFonts w:hint="eastAsia" w:ascii="仿宋" w:hAnsi="仿宋" w:eastAsia="仿宋" w:cs="仿宋"/>
          <w:color w:val="auto"/>
          <w:sz w:val="32"/>
          <w:szCs w:val="32"/>
          <w:highlight w:val="none"/>
          <w:lang w:eastAsia="zh-CN"/>
        </w:rPr>
        <w:t>。</w:t>
      </w:r>
    </w:p>
    <w:p w14:paraId="6E4C8E10">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圣光机大学发挥自身</w:t>
      </w:r>
      <w:r>
        <w:rPr>
          <w:rFonts w:hint="eastAsia" w:ascii="仿宋" w:hAnsi="仿宋" w:eastAsia="仿宋" w:cs="仿宋"/>
          <w:color w:val="auto"/>
          <w:sz w:val="32"/>
          <w:szCs w:val="32"/>
          <w:highlight w:val="none"/>
          <w:lang w:val="en-US" w:eastAsia="zh-CN"/>
        </w:rPr>
        <w:t>科研</w:t>
      </w:r>
      <w:r>
        <w:rPr>
          <w:rFonts w:hint="eastAsia" w:ascii="仿宋" w:hAnsi="仿宋" w:eastAsia="仿宋" w:cs="仿宋"/>
          <w:color w:val="auto"/>
          <w:sz w:val="32"/>
          <w:szCs w:val="32"/>
          <w:highlight w:val="none"/>
          <w:lang w:eastAsia="zh-CN"/>
        </w:rPr>
        <w:t>资源优势，积极参与我校的科研项目，引推荐高端专家，</w:t>
      </w:r>
      <w:r>
        <w:rPr>
          <w:rFonts w:hint="eastAsia" w:ascii="仿宋" w:hAnsi="仿宋" w:eastAsia="仿宋" w:cs="仿宋"/>
          <w:color w:val="auto"/>
          <w:sz w:val="32"/>
          <w:szCs w:val="32"/>
          <w:highlight w:val="none"/>
          <w:lang w:val="en-US" w:eastAsia="zh-CN"/>
        </w:rPr>
        <w:t>申报国家重大课题，协商共建</w:t>
      </w:r>
      <w:r>
        <w:rPr>
          <w:rFonts w:hint="eastAsia" w:ascii="仿宋" w:hAnsi="仿宋" w:eastAsia="仿宋" w:cs="仿宋"/>
          <w:color w:val="auto"/>
          <w:sz w:val="32"/>
          <w:szCs w:val="32"/>
          <w:highlight w:val="none"/>
          <w:lang w:eastAsia="zh-CN"/>
        </w:rPr>
        <w:t>科研平台、极大</w:t>
      </w:r>
      <w:r>
        <w:rPr>
          <w:rFonts w:hint="eastAsia" w:ascii="仿宋" w:hAnsi="仿宋" w:eastAsia="仿宋" w:cs="仿宋"/>
          <w:color w:val="auto"/>
          <w:sz w:val="32"/>
          <w:szCs w:val="32"/>
          <w:highlight w:val="none"/>
          <w:lang w:val="en-US" w:eastAsia="zh-CN"/>
        </w:rPr>
        <w:t>促进两校光电领域的全球竞争力。2024年</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lang w:val="en-US" w:eastAsia="zh-CN"/>
        </w:rPr>
        <w:t>共同研究制定搭建有利于教师和学生合作交流平台，就成立</w:t>
      </w:r>
      <w:r>
        <w:rPr>
          <w:rFonts w:hint="eastAsia" w:ascii="仿宋" w:hAnsi="仿宋" w:eastAsia="仿宋" w:cs="仿宋"/>
          <w:color w:val="auto"/>
          <w:sz w:val="32"/>
          <w:szCs w:val="32"/>
          <w:highlight w:val="none"/>
          <w:lang w:eastAsia="zh-CN"/>
        </w:rPr>
        <w:t>大学生科创中心、英语语言培训服务中心和中俄科技研发与成果转化中心</w:t>
      </w:r>
      <w:r>
        <w:rPr>
          <w:rFonts w:hint="eastAsia" w:ascii="仿宋" w:hAnsi="仿宋" w:eastAsia="仿宋" w:cs="仿宋"/>
          <w:color w:val="auto"/>
          <w:sz w:val="32"/>
          <w:szCs w:val="32"/>
          <w:highlight w:val="none"/>
          <w:lang w:val="en-US" w:eastAsia="zh-CN"/>
        </w:rPr>
        <w:t>达成一致。</w:t>
      </w:r>
    </w:p>
    <w:p w14:paraId="0AB79ADF">
      <w:pPr>
        <w:pStyle w:val="2"/>
        <w:widowControl w:val="0"/>
        <w:kinsoku/>
        <w:wordWrap w:val="0"/>
        <w:topLinePunct/>
        <w:autoSpaceDE/>
        <w:autoSpaceDN/>
        <w:spacing w:line="500" w:lineRule="exact"/>
        <w:jc w:val="both"/>
        <w:outlineLvl w:val="0"/>
        <w:rPr>
          <w:rFonts w:hint="eastAsia" w:ascii="仿宋" w:hAnsi="仿宋" w:eastAsia="仿宋" w:cs="仿宋"/>
          <w:color w:val="auto"/>
          <w:spacing w:val="-3"/>
          <w:sz w:val="32"/>
          <w:szCs w:val="32"/>
          <w:highlight w:val="none"/>
          <w:lang w:eastAsia="zh-CN"/>
        </w:rPr>
      </w:pPr>
      <w:r>
        <w:rPr>
          <w:rFonts w:hint="eastAsia" w:ascii="仿宋" w:hAnsi="仿宋" w:eastAsia="仿宋" w:cs="仿宋"/>
          <w:b/>
          <w:bCs/>
          <w:color w:val="auto"/>
          <w:spacing w:val="-3"/>
          <w:sz w:val="32"/>
          <w:szCs w:val="32"/>
          <w:highlight w:val="none"/>
          <w:lang w:val="en-US" w:eastAsia="zh-CN"/>
        </w:rPr>
        <w:t>七</w:t>
      </w:r>
      <w:r>
        <w:rPr>
          <w:rFonts w:hint="eastAsia" w:ascii="仿宋" w:hAnsi="仿宋" w:eastAsia="仿宋" w:cs="仿宋"/>
          <w:b/>
          <w:bCs/>
          <w:color w:val="auto"/>
          <w:spacing w:val="-3"/>
          <w:sz w:val="32"/>
          <w:szCs w:val="32"/>
          <w:highlight w:val="none"/>
          <w:lang w:eastAsia="zh-CN"/>
        </w:rPr>
        <w:t>、</w:t>
      </w:r>
      <w:r>
        <w:rPr>
          <w:rFonts w:hint="eastAsia" w:ascii="仿宋" w:hAnsi="仿宋" w:eastAsia="仿宋" w:cs="仿宋"/>
          <w:b/>
          <w:bCs/>
          <w:color w:val="auto"/>
          <w:spacing w:val="-5"/>
          <w:sz w:val="32"/>
          <w:szCs w:val="32"/>
          <w:highlight w:val="none"/>
          <w:lang w:eastAsia="zh-CN"/>
        </w:rPr>
        <w:t>形势分析及应对措施</w:t>
      </w:r>
    </w:p>
    <w:p w14:paraId="218EE74E">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学院发展态势稳健向好，招生工作保持稳定运行，整体办学秩序可控有序。</w:t>
      </w:r>
      <w:bookmarkStart w:id="0" w:name="_GoBack"/>
      <w:bookmarkEnd w:id="0"/>
      <w:r>
        <w:rPr>
          <w:rFonts w:hint="eastAsia" w:ascii="仿宋" w:hAnsi="仿宋" w:eastAsia="仿宋" w:cs="仿宋"/>
          <w:color w:val="auto"/>
          <w:sz w:val="32"/>
          <w:szCs w:val="32"/>
          <w:highlight w:val="none"/>
          <w:lang w:eastAsia="zh-CN"/>
        </w:rPr>
        <w:t>学院招生生源质量持续</w:t>
      </w:r>
      <w:r>
        <w:rPr>
          <w:rFonts w:hint="eastAsia" w:ascii="仿宋" w:hAnsi="仿宋" w:eastAsia="仿宋" w:cs="仿宋"/>
          <w:color w:val="auto"/>
          <w:sz w:val="32"/>
          <w:szCs w:val="32"/>
          <w:highlight w:val="none"/>
          <w:lang w:val="en-US" w:eastAsia="zh-CN"/>
        </w:rPr>
        <w:t>提升</w:t>
      </w:r>
      <w:r>
        <w:rPr>
          <w:rFonts w:hint="eastAsia" w:ascii="仿宋" w:hAnsi="仿宋" w:eastAsia="仿宋" w:cs="仿宋"/>
          <w:color w:val="auto"/>
          <w:sz w:val="32"/>
          <w:szCs w:val="32"/>
          <w:highlight w:val="none"/>
          <w:lang w:eastAsia="zh-CN"/>
        </w:rPr>
        <w:t>，毕业生专业素养过硬、国际化特色鲜明。人才培养与吉林省光电产业发展需求高度契合，同时精准对接国家战略产业布局，为地方支柱产业升级和国家关键领域发展输送了大批具备中俄双校教育背景、专业能力扎实的</w:t>
      </w:r>
      <w:r>
        <w:rPr>
          <w:rFonts w:hint="eastAsia" w:ascii="仿宋" w:hAnsi="仿宋" w:eastAsia="仿宋" w:cs="仿宋"/>
          <w:color w:val="auto"/>
          <w:sz w:val="32"/>
          <w:szCs w:val="32"/>
          <w:highlight w:val="none"/>
          <w:lang w:val="en-US" w:eastAsia="zh-CN"/>
        </w:rPr>
        <w:t>优秀毕业生</w:t>
      </w:r>
      <w:r>
        <w:rPr>
          <w:rFonts w:hint="eastAsia" w:ascii="仿宋" w:hAnsi="仿宋" w:eastAsia="仿宋" w:cs="仿宋"/>
          <w:color w:val="auto"/>
          <w:sz w:val="32"/>
          <w:szCs w:val="32"/>
          <w:highlight w:val="none"/>
          <w:lang w:eastAsia="zh-CN"/>
        </w:rPr>
        <w:t>，实现了人才培养与产业需求的同频共振。</w:t>
      </w:r>
    </w:p>
    <w:p w14:paraId="3D7DB433">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两校友谊深厚，合作基础坚实，俄方每年按教学计划，派优秀教师赴长春授课，提供具有先进性和科学性的教材和讲义，无教学断档问题；双方能够严格履行协议和章程中规定的责任和义务，无合作中断风险。</w:t>
      </w:r>
    </w:p>
    <w:p w14:paraId="2957A176">
      <w:pPr>
        <w:pStyle w:val="2"/>
        <w:widowControl w:val="0"/>
        <w:kinsoku/>
        <w:wordWrap w:val="0"/>
        <w:topLinePunct/>
        <w:autoSpaceDE/>
        <w:autoSpaceDN/>
        <w:spacing w:line="500" w:lineRule="exact"/>
        <w:jc w:val="both"/>
        <w:rPr>
          <w:rFonts w:hint="eastAsia" w:ascii="仿宋" w:hAnsi="仿宋" w:eastAsia="仿宋" w:cs="仿宋"/>
          <w:color w:val="auto"/>
          <w:sz w:val="32"/>
          <w:szCs w:val="32"/>
          <w:highlight w:val="none"/>
          <w:lang w:eastAsia="zh-CN"/>
        </w:rPr>
      </w:pPr>
    </w:p>
    <w:p w14:paraId="397069B8">
      <w:pPr>
        <w:keepNext w:val="0"/>
        <w:keepLines w:val="0"/>
        <w:pageBreakBefore w:val="0"/>
        <w:widowControl/>
        <w:kinsoku/>
        <w:wordWrap w:val="0"/>
        <w:overflowPunct/>
        <w:topLinePunct/>
        <w:autoSpaceDE/>
        <w:autoSpaceDN/>
        <w:bidi w:val="0"/>
        <w:adjustRightInd w:val="0"/>
        <w:snapToGrid w:val="0"/>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校长：</w:t>
      </w:r>
    </w:p>
    <w:p w14:paraId="5B139A85">
      <w:pPr>
        <w:keepNext w:val="0"/>
        <w:keepLines w:val="0"/>
        <w:pageBreakBefore w:val="0"/>
        <w:widowControl/>
        <w:kinsoku/>
        <w:wordWrap w:val="0"/>
        <w:overflowPunct/>
        <w:topLinePunct/>
        <w:autoSpaceDE/>
        <w:autoSpaceDN/>
        <w:bidi w:val="0"/>
        <w:adjustRightInd w:val="0"/>
        <w:snapToGrid w:val="0"/>
        <w:spacing w:line="560" w:lineRule="exact"/>
        <w:ind w:firstLine="640" w:firstLineChars="200"/>
        <w:jc w:val="center"/>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长春理工大学</w:t>
      </w:r>
    </w:p>
    <w:p w14:paraId="11BC3CBE">
      <w:pPr>
        <w:keepNext w:val="0"/>
        <w:keepLines w:val="0"/>
        <w:pageBreakBefore w:val="0"/>
        <w:widowControl/>
        <w:kinsoku/>
        <w:wordWrap w:val="0"/>
        <w:overflowPunct/>
        <w:topLinePunct/>
        <w:autoSpaceDE/>
        <w:autoSpaceDN/>
        <w:bidi w:val="0"/>
        <w:adjustRightInd w:val="0"/>
        <w:snapToGrid w:val="0"/>
        <w:spacing w:line="560" w:lineRule="exact"/>
        <w:ind w:firstLine="640" w:firstLineChars="200"/>
        <w:jc w:val="center"/>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2025年12月29日</w:t>
      </w:r>
    </w:p>
    <w:p w14:paraId="19A549BA">
      <w:pPr>
        <w:pStyle w:val="2"/>
        <w:widowControl w:val="0"/>
        <w:kinsoku/>
        <w:wordWrap w:val="0"/>
        <w:topLinePunct/>
        <w:autoSpaceDE/>
        <w:autoSpaceDN/>
        <w:spacing w:line="500" w:lineRule="exact"/>
        <w:ind w:firstLine="640" w:firstLineChars="200"/>
        <w:jc w:val="both"/>
        <w:rPr>
          <w:rFonts w:hint="eastAsia" w:ascii="仿宋" w:hAnsi="仿宋" w:eastAsia="仿宋" w:cs="仿宋"/>
          <w:color w:val="auto"/>
          <w:sz w:val="32"/>
          <w:szCs w:val="32"/>
          <w:highlight w:val="none"/>
          <w:lang w:eastAsia="zh-CN"/>
        </w:rPr>
      </w:pPr>
    </w:p>
    <w:sectPr>
      <w:headerReference r:id="rId3" w:type="default"/>
      <w:footerReference r:id="rId4" w:type="default"/>
      <w:pgSz w:w="11906" w:h="16839"/>
      <w:pgMar w:top="1440" w:right="1800" w:bottom="1440" w:left="1800" w:header="0"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1" w:fontKey="{45FF0100-44D7-43E9-8241-0ADEBE30A5D2}"/>
  </w:font>
  <w:font w:name="方正小标宋简体">
    <w:panose1 w:val="02000000000000000000"/>
    <w:charset w:val="86"/>
    <w:family w:val="auto"/>
    <w:pitch w:val="default"/>
    <w:sig w:usb0="00000001" w:usb1="08000000" w:usb2="00000000" w:usb3="00000000" w:csb0="00040000" w:csb1="00000000"/>
    <w:embedRegular r:id="rId2" w:fontKey="{9345A1E0-DB42-4D72-9DEE-CD0942415561}"/>
  </w:font>
  <w:font w:name="方正小标宋_GBK">
    <w:panose1 w:val="02000000000000000000"/>
    <w:charset w:val="86"/>
    <w:family w:val="script"/>
    <w:pitch w:val="default"/>
    <w:sig w:usb0="A00002BF" w:usb1="38CF7CFA" w:usb2="00082016" w:usb3="00000000" w:csb0="00040001" w:csb1="00000000"/>
    <w:embedRegular r:id="rId3" w:fontKey="{CC0EDB1C-FD59-4D70-8B9F-3F5FC6E94C2A}"/>
  </w:font>
  <w:font w:name="WPSEMBED1">
    <w:panose1 w:val="02000000000000000000"/>
    <w:charset w:val="86"/>
    <w:family w:val="auto"/>
    <w:pitch w:val="default"/>
    <w:sig w:usb0="00000001" w:usb1="08000000" w:usb2="00000000" w:usb3="00000000" w:csb0="00040000" w:csb1="00000000"/>
  </w:font>
  <w:font w:name="WPSEMBED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55F18">
    <w:pPr>
      <w:pStyle w:val="3"/>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FBAAF5">
                          <w:pPr>
                            <w:pStyle w:val="3"/>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2FBAAF5">
                    <w:pPr>
                      <w:pStyle w:val="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27AAA">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934"/>
    <w:rsid w:val="00001470"/>
    <w:rsid w:val="0003124F"/>
    <w:rsid w:val="00070AF3"/>
    <w:rsid w:val="00076791"/>
    <w:rsid w:val="00081636"/>
    <w:rsid w:val="000C1776"/>
    <w:rsid w:val="000C3643"/>
    <w:rsid w:val="000D1A4A"/>
    <w:rsid w:val="000E274B"/>
    <w:rsid w:val="00164A8E"/>
    <w:rsid w:val="001C5ED6"/>
    <w:rsid w:val="001E6A4F"/>
    <w:rsid w:val="0029204F"/>
    <w:rsid w:val="002B1A23"/>
    <w:rsid w:val="002B6923"/>
    <w:rsid w:val="00316095"/>
    <w:rsid w:val="0036321B"/>
    <w:rsid w:val="00384B9C"/>
    <w:rsid w:val="00402821"/>
    <w:rsid w:val="00417BF1"/>
    <w:rsid w:val="00427AB9"/>
    <w:rsid w:val="00447414"/>
    <w:rsid w:val="004502F4"/>
    <w:rsid w:val="0045343B"/>
    <w:rsid w:val="00461726"/>
    <w:rsid w:val="004874D5"/>
    <w:rsid w:val="00495776"/>
    <w:rsid w:val="004E43BF"/>
    <w:rsid w:val="005252A8"/>
    <w:rsid w:val="005479F4"/>
    <w:rsid w:val="00591B0E"/>
    <w:rsid w:val="005D5D53"/>
    <w:rsid w:val="006245D3"/>
    <w:rsid w:val="006775D4"/>
    <w:rsid w:val="00701934"/>
    <w:rsid w:val="00716CD2"/>
    <w:rsid w:val="00833A71"/>
    <w:rsid w:val="0090640F"/>
    <w:rsid w:val="009311E6"/>
    <w:rsid w:val="00942A2E"/>
    <w:rsid w:val="009A2A5F"/>
    <w:rsid w:val="009D2537"/>
    <w:rsid w:val="009D4E76"/>
    <w:rsid w:val="009F3819"/>
    <w:rsid w:val="00A124C5"/>
    <w:rsid w:val="00A24DBD"/>
    <w:rsid w:val="00A97848"/>
    <w:rsid w:val="00AA5232"/>
    <w:rsid w:val="00AD7946"/>
    <w:rsid w:val="00AF07FB"/>
    <w:rsid w:val="00AF2943"/>
    <w:rsid w:val="00B14D41"/>
    <w:rsid w:val="00B52690"/>
    <w:rsid w:val="00BA0B59"/>
    <w:rsid w:val="00BB6BEA"/>
    <w:rsid w:val="00C6664C"/>
    <w:rsid w:val="00D638E5"/>
    <w:rsid w:val="00EB770E"/>
    <w:rsid w:val="00EF080D"/>
    <w:rsid w:val="00F0458F"/>
    <w:rsid w:val="00F33022"/>
    <w:rsid w:val="00F35D04"/>
    <w:rsid w:val="00F42A3F"/>
    <w:rsid w:val="00F61974"/>
    <w:rsid w:val="00F70867"/>
    <w:rsid w:val="00F70B73"/>
    <w:rsid w:val="01050F22"/>
    <w:rsid w:val="011A24F4"/>
    <w:rsid w:val="011C7521"/>
    <w:rsid w:val="011E0236"/>
    <w:rsid w:val="011E3D92"/>
    <w:rsid w:val="012375FA"/>
    <w:rsid w:val="01527EDF"/>
    <w:rsid w:val="015679D0"/>
    <w:rsid w:val="015B4FE6"/>
    <w:rsid w:val="01633E9B"/>
    <w:rsid w:val="0183474F"/>
    <w:rsid w:val="0194674A"/>
    <w:rsid w:val="01CE3A0A"/>
    <w:rsid w:val="01D9415D"/>
    <w:rsid w:val="01EA636A"/>
    <w:rsid w:val="01F01BD2"/>
    <w:rsid w:val="026954E1"/>
    <w:rsid w:val="02873BB9"/>
    <w:rsid w:val="02B80216"/>
    <w:rsid w:val="02F54FC6"/>
    <w:rsid w:val="02FC0103"/>
    <w:rsid w:val="03004097"/>
    <w:rsid w:val="03165668"/>
    <w:rsid w:val="03253AFD"/>
    <w:rsid w:val="032558AB"/>
    <w:rsid w:val="03E616B2"/>
    <w:rsid w:val="04133956"/>
    <w:rsid w:val="042F4508"/>
    <w:rsid w:val="048B7990"/>
    <w:rsid w:val="048E122E"/>
    <w:rsid w:val="049B394B"/>
    <w:rsid w:val="04AC7907"/>
    <w:rsid w:val="04AE367F"/>
    <w:rsid w:val="04B70785"/>
    <w:rsid w:val="04FC263C"/>
    <w:rsid w:val="04FF037E"/>
    <w:rsid w:val="050F6813"/>
    <w:rsid w:val="052878D5"/>
    <w:rsid w:val="0530678A"/>
    <w:rsid w:val="05573D16"/>
    <w:rsid w:val="055A55B4"/>
    <w:rsid w:val="05856AD5"/>
    <w:rsid w:val="058C1C12"/>
    <w:rsid w:val="05B41169"/>
    <w:rsid w:val="05F257ED"/>
    <w:rsid w:val="05F81055"/>
    <w:rsid w:val="06110369"/>
    <w:rsid w:val="061F2A86"/>
    <w:rsid w:val="062A4F87"/>
    <w:rsid w:val="06426774"/>
    <w:rsid w:val="067F1777"/>
    <w:rsid w:val="06A20FC1"/>
    <w:rsid w:val="06DD649D"/>
    <w:rsid w:val="06DF5D71"/>
    <w:rsid w:val="06E23AB3"/>
    <w:rsid w:val="06E45A7E"/>
    <w:rsid w:val="07351E35"/>
    <w:rsid w:val="073D0CEA"/>
    <w:rsid w:val="07465DF0"/>
    <w:rsid w:val="07506C6F"/>
    <w:rsid w:val="07632E46"/>
    <w:rsid w:val="07846919"/>
    <w:rsid w:val="078608E3"/>
    <w:rsid w:val="07E07FF3"/>
    <w:rsid w:val="07EC4BEA"/>
    <w:rsid w:val="080F08D8"/>
    <w:rsid w:val="082D0D5E"/>
    <w:rsid w:val="085D5AE7"/>
    <w:rsid w:val="087122D5"/>
    <w:rsid w:val="08852948"/>
    <w:rsid w:val="08CE42EF"/>
    <w:rsid w:val="08FA3336"/>
    <w:rsid w:val="09016473"/>
    <w:rsid w:val="09657E75"/>
    <w:rsid w:val="097035F9"/>
    <w:rsid w:val="098D41AA"/>
    <w:rsid w:val="099472E7"/>
    <w:rsid w:val="09BA2AC6"/>
    <w:rsid w:val="09D122E9"/>
    <w:rsid w:val="09D26061"/>
    <w:rsid w:val="09D33378"/>
    <w:rsid w:val="09DF42DA"/>
    <w:rsid w:val="09E813E1"/>
    <w:rsid w:val="09EB2C7F"/>
    <w:rsid w:val="09F4422A"/>
    <w:rsid w:val="0A03621B"/>
    <w:rsid w:val="0A165D3D"/>
    <w:rsid w:val="0A261F09"/>
    <w:rsid w:val="0A7B2255"/>
    <w:rsid w:val="0A7F7F97"/>
    <w:rsid w:val="0AB67731"/>
    <w:rsid w:val="0AEA1189"/>
    <w:rsid w:val="0B0C10FF"/>
    <w:rsid w:val="0B116715"/>
    <w:rsid w:val="0B3A5C6C"/>
    <w:rsid w:val="0B3D750A"/>
    <w:rsid w:val="0B4765DB"/>
    <w:rsid w:val="0BAD28E2"/>
    <w:rsid w:val="0BE34556"/>
    <w:rsid w:val="0C063DA0"/>
    <w:rsid w:val="0C2030B4"/>
    <w:rsid w:val="0C234952"/>
    <w:rsid w:val="0C3B7EEE"/>
    <w:rsid w:val="0C4D19CF"/>
    <w:rsid w:val="0C566AD6"/>
    <w:rsid w:val="0C6F7B97"/>
    <w:rsid w:val="0C743400"/>
    <w:rsid w:val="0C767178"/>
    <w:rsid w:val="0CAC0DEC"/>
    <w:rsid w:val="0CEA5470"/>
    <w:rsid w:val="0D272220"/>
    <w:rsid w:val="0D523741"/>
    <w:rsid w:val="0D692839"/>
    <w:rsid w:val="0D725B91"/>
    <w:rsid w:val="0D7C256C"/>
    <w:rsid w:val="0D907DC5"/>
    <w:rsid w:val="0DBA3094"/>
    <w:rsid w:val="0DC65EDD"/>
    <w:rsid w:val="0E1E1875"/>
    <w:rsid w:val="0F096081"/>
    <w:rsid w:val="0F16254C"/>
    <w:rsid w:val="0F182CCD"/>
    <w:rsid w:val="0F44530B"/>
    <w:rsid w:val="0F4B48EC"/>
    <w:rsid w:val="0F713C26"/>
    <w:rsid w:val="0F7A0D2D"/>
    <w:rsid w:val="0F7D081D"/>
    <w:rsid w:val="0F8120BC"/>
    <w:rsid w:val="10093E5F"/>
    <w:rsid w:val="101C1DE4"/>
    <w:rsid w:val="10262C63"/>
    <w:rsid w:val="103F5AD3"/>
    <w:rsid w:val="10437371"/>
    <w:rsid w:val="107439CE"/>
    <w:rsid w:val="108654B0"/>
    <w:rsid w:val="10B71B0D"/>
    <w:rsid w:val="10D73F5D"/>
    <w:rsid w:val="10E072B6"/>
    <w:rsid w:val="10E548CC"/>
    <w:rsid w:val="11205904"/>
    <w:rsid w:val="11A26319"/>
    <w:rsid w:val="11AE2F10"/>
    <w:rsid w:val="11B06C88"/>
    <w:rsid w:val="11C444E1"/>
    <w:rsid w:val="11FE3E97"/>
    <w:rsid w:val="12080872"/>
    <w:rsid w:val="123A47A4"/>
    <w:rsid w:val="126B7053"/>
    <w:rsid w:val="1292638E"/>
    <w:rsid w:val="12A53150"/>
    <w:rsid w:val="12AF6F40"/>
    <w:rsid w:val="12B46304"/>
    <w:rsid w:val="12C66037"/>
    <w:rsid w:val="12FE3A23"/>
    <w:rsid w:val="13086650"/>
    <w:rsid w:val="1312127D"/>
    <w:rsid w:val="131C06A6"/>
    <w:rsid w:val="13337B71"/>
    <w:rsid w:val="13392CAD"/>
    <w:rsid w:val="133E02C4"/>
    <w:rsid w:val="1347361C"/>
    <w:rsid w:val="134F427F"/>
    <w:rsid w:val="137065B1"/>
    <w:rsid w:val="1384217A"/>
    <w:rsid w:val="13916645"/>
    <w:rsid w:val="13AF2F6F"/>
    <w:rsid w:val="13B54A2A"/>
    <w:rsid w:val="141C0605"/>
    <w:rsid w:val="146B6E96"/>
    <w:rsid w:val="146F2E2A"/>
    <w:rsid w:val="147026FF"/>
    <w:rsid w:val="149F2FE4"/>
    <w:rsid w:val="14CF5677"/>
    <w:rsid w:val="14D94748"/>
    <w:rsid w:val="14E153AA"/>
    <w:rsid w:val="14FB2910"/>
    <w:rsid w:val="150D619F"/>
    <w:rsid w:val="1517701E"/>
    <w:rsid w:val="15192D96"/>
    <w:rsid w:val="1542409B"/>
    <w:rsid w:val="15802E15"/>
    <w:rsid w:val="15B8435D"/>
    <w:rsid w:val="15BB3E4D"/>
    <w:rsid w:val="15BB6746"/>
    <w:rsid w:val="15BD1974"/>
    <w:rsid w:val="15EE5FD1"/>
    <w:rsid w:val="16070E41"/>
    <w:rsid w:val="16223ECC"/>
    <w:rsid w:val="164125A5"/>
    <w:rsid w:val="165C73DE"/>
    <w:rsid w:val="1663076D"/>
    <w:rsid w:val="1695644C"/>
    <w:rsid w:val="169E79F7"/>
    <w:rsid w:val="16A86180"/>
    <w:rsid w:val="16DE7DF3"/>
    <w:rsid w:val="17017F86"/>
    <w:rsid w:val="17113BC7"/>
    <w:rsid w:val="1715758D"/>
    <w:rsid w:val="1720040C"/>
    <w:rsid w:val="178A3AD7"/>
    <w:rsid w:val="17942BA8"/>
    <w:rsid w:val="17C50FB3"/>
    <w:rsid w:val="17EA0A1A"/>
    <w:rsid w:val="17EE22B8"/>
    <w:rsid w:val="1824217E"/>
    <w:rsid w:val="1844637C"/>
    <w:rsid w:val="18700F1F"/>
    <w:rsid w:val="18786026"/>
    <w:rsid w:val="18846779"/>
    <w:rsid w:val="18925339"/>
    <w:rsid w:val="18A137CE"/>
    <w:rsid w:val="18A4506D"/>
    <w:rsid w:val="18C748B7"/>
    <w:rsid w:val="18D45952"/>
    <w:rsid w:val="18F51424"/>
    <w:rsid w:val="19081158"/>
    <w:rsid w:val="190E24E6"/>
    <w:rsid w:val="19121FD6"/>
    <w:rsid w:val="19185113"/>
    <w:rsid w:val="191E0E81"/>
    <w:rsid w:val="19241D0A"/>
    <w:rsid w:val="194D300E"/>
    <w:rsid w:val="19502AFF"/>
    <w:rsid w:val="19540841"/>
    <w:rsid w:val="195A572B"/>
    <w:rsid w:val="195C14A3"/>
    <w:rsid w:val="196F11D7"/>
    <w:rsid w:val="198509FA"/>
    <w:rsid w:val="19874772"/>
    <w:rsid w:val="198F1879"/>
    <w:rsid w:val="19921369"/>
    <w:rsid w:val="19AF3CC9"/>
    <w:rsid w:val="19F33BB6"/>
    <w:rsid w:val="19FD67E3"/>
    <w:rsid w:val="1A1B6B6E"/>
    <w:rsid w:val="1A5F56EF"/>
    <w:rsid w:val="1A807414"/>
    <w:rsid w:val="1A8B0292"/>
    <w:rsid w:val="1A947260"/>
    <w:rsid w:val="1A98475D"/>
    <w:rsid w:val="1A9F789A"/>
    <w:rsid w:val="1AA90718"/>
    <w:rsid w:val="1AE23C2A"/>
    <w:rsid w:val="1AF776D6"/>
    <w:rsid w:val="1B3B1CB8"/>
    <w:rsid w:val="1B4A3CA9"/>
    <w:rsid w:val="1B7C407F"/>
    <w:rsid w:val="1B99078D"/>
    <w:rsid w:val="1B9C027D"/>
    <w:rsid w:val="1BA13E6B"/>
    <w:rsid w:val="1BA40B26"/>
    <w:rsid w:val="1BAA4748"/>
    <w:rsid w:val="1BBB0703"/>
    <w:rsid w:val="1BD6553D"/>
    <w:rsid w:val="1BFE16DE"/>
    <w:rsid w:val="1C220782"/>
    <w:rsid w:val="1C252021"/>
    <w:rsid w:val="1C3861F8"/>
    <w:rsid w:val="1C512E16"/>
    <w:rsid w:val="1C623275"/>
    <w:rsid w:val="1C6A2129"/>
    <w:rsid w:val="1C7134B8"/>
    <w:rsid w:val="1C9E7003"/>
    <w:rsid w:val="1C9F6277"/>
    <w:rsid w:val="1CA92C52"/>
    <w:rsid w:val="1CEE68B6"/>
    <w:rsid w:val="1D1A76AB"/>
    <w:rsid w:val="1D232A04"/>
    <w:rsid w:val="1D540E0F"/>
    <w:rsid w:val="1D813BCE"/>
    <w:rsid w:val="1DA376A1"/>
    <w:rsid w:val="1DB96EC4"/>
    <w:rsid w:val="1DBC58F6"/>
    <w:rsid w:val="1DBD1371"/>
    <w:rsid w:val="1DEF28E6"/>
    <w:rsid w:val="1E311151"/>
    <w:rsid w:val="1E312EFF"/>
    <w:rsid w:val="1E390005"/>
    <w:rsid w:val="1E696B3C"/>
    <w:rsid w:val="1EA23DFC"/>
    <w:rsid w:val="1EA731C1"/>
    <w:rsid w:val="1ED16490"/>
    <w:rsid w:val="1EE066D3"/>
    <w:rsid w:val="1EE12B77"/>
    <w:rsid w:val="1EF53F2C"/>
    <w:rsid w:val="1F073C5F"/>
    <w:rsid w:val="1F0E3240"/>
    <w:rsid w:val="1F6B2440"/>
    <w:rsid w:val="1FD20711"/>
    <w:rsid w:val="1FF71F26"/>
    <w:rsid w:val="1FFB099C"/>
    <w:rsid w:val="201C198C"/>
    <w:rsid w:val="20270A5D"/>
    <w:rsid w:val="203B62B7"/>
    <w:rsid w:val="205253AE"/>
    <w:rsid w:val="20717F2A"/>
    <w:rsid w:val="20796DDF"/>
    <w:rsid w:val="20895274"/>
    <w:rsid w:val="208A0FEC"/>
    <w:rsid w:val="208A4B48"/>
    <w:rsid w:val="209E23A2"/>
    <w:rsid w:val="209F6845"/>
    <w:rsid w:val="21110DC5"/>
    <w:rsid w:val="21134B3E"/>
    <w:rsid w:val="21921F06"/>
    <w:rsid w:val="21B46321"/>
    <w:rsid w:val="21D37651"/>
    <w:rsid w:val="21D7200F"/>
    <w:rsid w:val="21E85FCA"/>
    <w:rsid w:val="21FB3F4F"/>
    <w:rsid w:val="220D5A31"/>
    <w:rsid w:val="221F7512"/>
    <w:rsid w:val="2294222A"/>
    <w:rsid w:val="22993768"/>
    <w:rsid w:val="22A5210D"/>
    <w:rsid w:val="22A935B1"/>
    <w:rsid w:val="22EC5646"/>
    <w:rsid w:val="22FB3ADB"/>
    <w:rsid w:val="230A1F70"/>
    <w:rsid w:val="232748D0"/>
    <w:rsid w:val="233B037C"/>
    <w:rsid w:val="2342170A"/>
    <w:rsid w:val="23445482"/>
    <w:rsid w:val="23452FA8"/>
    <w:rsid w:val="2375388E"/>
    <w:rsid w:val="23841D23"/>
    <w:rsid w:val="238E78E7"/>
    <w:rsid w:val="239006C7"/>
    <w:rsid w:val="239B0E1A"/>
    <w:rsid w:val="23B343B6"/>
    <w:rsid w:val="23B4085A"/>
    <w:rsid w:val="23C6058D"/>
    <w:rsid w:val="23CE11F0"/>
    <w:rsid w:val="23D06D16"/>
    <w:rsid w:val="23F5677C"/>
    <w:rsid w:val="241A61E3"/>
    <w:rsid w:val="24415E66"/>
    <w:rsid w:val="244D480A"/>
    <w:rsid w:val="24507E57"/>
    <w:rsid w:val="245636BF"/>
    <w:rsid w:val="245711E5"/>
    <w:rsid w:val="24575689"/>
    <w:rsid w:val="246B6A3F"/>
    <w:rsid w:val="248D10AB"/>
    <w:rsid w:val="249917FE"/>
    <w:rsid w:val="249E6E14"/>
    <w:rsid w:val="24A02B8C"/>
    <w:rsid w:val="24A24B56"/>
    <w:rsid w:val="24D75903"/>
    <w:rsid w:val="252E1F46"/>
    <w:rsid w:val="25317C88"/>
    <w:rsid w:val="25423C43"/>
    <w:rsid w:val="25AC730F"/>
    <w:rsid w:val="25B3069D"/>
    <w:rsid w:val="25C91C6F"/>
    <w:rsid w:val="25D30D3F"/>
    <w:rsid w:val="25DD527F"/>
    <w:rsid w:val="25E1520A"/>
    <w:rsid w:val="25E20F82"/>
    <w:rsid w:val="25E66CC5"/>
    <w:rsid w:val="25F50CB6"/>
    <w:rsid w:val="260333D3"/>
    <w:rsid w:val="264B2FCC"/>
    <w:rsid w:val="265F25D3"/>
    <w:rsid w:val="267C3185"/>
    <w:rsid w:val="268A58A2"/>
    <w:rsid w:val="26A84361"/>
    <w:rsid w:val="26B26BA7"/>
    <w:rsid w:val="26C2328E"/>
    <w:rsid w:val="26C87106"/>
    <w:rsid w:val="26CB1A16"/>
    <w:rsid w:val="26CF7759"/>
    <w:rsid w:val="26D62895"/>
    <w:rsid w:val="2705317A"/>
    <w:rsid w:val="270A0791"/>
    <w:rsid w:val="271E423C"/>
    <w:rsid w:val="274517C9"/>
    <w:rsid w:val="274E68CF"/>
    <w:rsid w:val="277D0F63"/>
    <w:rsid w:val="27800A53"/>
    <w:rsid w:val="27840543"/>
    <w:rsid w:val="27846795"/>
    <w:rsid w:val="279544FE"/>
    <w:rsid w:val="279F35CF"/>
    <w:rsid w:val="27AE736E"/>
    <w:rsid w:val="27B23302"/>
    <w:rsid w:val="27FF7BCA"/>
    <w:rsid w:val="28285372"/>
    <w:rsid w:val="282910EA"/>
    <w:rsid w:val="28445F24"/>
    <w:rsid w:val="28620159"/>
    <w:rsid w:val="288A1B89"/>
    <w:rsid w:val="289A5B44"/>
    <w:rsid w:val="28AA222B"/>
    <w:rsid w:val="28C037FD"/>
    <w:rsid w:val="28D64DCE"/>
    <w:rsid w:val="29323FCF"/>
    <w:rsid w:val="29377F75"/>
    <w:rsid w:val="295372BE"/>
    <w:rsid w:val="296C74E1"/>
    <w:rsid w:val="297939AC"/>
    <w:rsid w:val="29824F56"/>
    <w:rsid w:val="29B42C36"/>
    <w:rsid w:val="2A0D0CC4"/>
    <w:rsid w:val="2A4E6BE6"/>
    <w:rsid w:val="2AA35184"/>
    <w:rsid w:val="2AC450FA"/>
    <w:rsid w:val="2ADC0696"/>
    <w:rsid w:val="2AF552B4"/>
    <w:rsid w:val="2B004385"/>
    <w:rsid w:val="2B1C0A93"/>
    <w:rsid w:val="2B2D7144"/>
    <w:rsid w:val="2B326508"/>
    <w:rsid w:val="2B3E4EAD"/>
    <w:rsid w:val="2B487ADA"/>
    <w:rsid w:val="2BD17ACF"/>
    <w:rsid w:val="2BD63337"/>
    <w:rsid w:val="2BDA2E28"/>
    <w:rsid w:val="2BEC66B7"/>
    <w:rsid w:val="2BEE68D3"/>
    <w:rsid w:val="2C35005E"/>
    <w:rsid w:val="2C4E1120"/>
    <w:rsid w:val="2C5F332D"/>
    <w:rsid w:val="2C8B5ED0"/>
    <w:rsid w:val="2CBD0053"/>
    <w:rsid w:val="2CCD2834"/>
    <w:rsid w:val="2CDA0C05"/>
    <w:rsid w:val="2CDA29B3"/>
    <w:rsid w:val="2CE83322"/>
    <w:rsid w:val="2CFE48F4"/>
    <w:rsid w:val="2D095047"/>
    <w:rsid w:val="2D173C07"/>
    <w:rsid w:val="2D1B54A6"/>
    <w:rsid w:val="2D480265"/>
    <w:rsid w:val="2D4D13D7"/>
    <w:rsid w:val="2D4D587B"/>
    <w:rsid w:val="2DD1025A"/>
    <w:rsid w:val="2E262354"/>
    <w:rsid w:val="2E2C5491"/>
    <w:rsid w:val="2E6309EA"/>
    <w:rsid w:val="2E8928E3"/>
    <w:rsid w:val="2E8E1CA7"/>
    <w:rsid w:val="2E905A1F"/>
    <w:rsid w:val="2ED55B28"/>
    <w:rsid w:val="2F277AB9"/>
    <w:rsid w:val="2FC17E5A"/>
    <w:rsid w:val="2FD45DE0"/>
    <w:rsid w:val="2FF26266"/>
    <w:rsid w:val="2FF65D56"/>
    <w:rsid w:val="2FFD5337"/>
    <w:rsid w:val="301F52AD"/>
    <w:rsid w:val="3069477A"/>
    <w:rsid w:val="306A22A0"/>
    <w:rsid w:val="30705B08"/>
    <w:rsid w:val="309612E7"/>
    <w:rsid w:val="309D61D2"/>
    <w:rsid w:val="30EE2ED1"/>
    <w:rsid w:val="30F009F7"/>
    <w:rsid w:val="30F32296"/>
    <w:rsid w:val="31085D41"/>
    <w:rsid w:val="310B5831"/>
    <w:rsid w:val="31490108"/>
    <w:rsid w:val="31532D34"/>
    <w:rsid w:val="31556AAC"/>
    <w:rsid w:val="3159659D"/>
    <w:rsid w:val="315A2315"/>
    <w:rsid w:val="316513E5"/>
    <w:rsid w:val="319677F1"/>
    <w:rsid w:val="319E0453"/>
    <w:rsid w:val="31A279BF"/>
    <w:rsid w:val="31C248D1"/>
    <w:rsid w:val="31D65E3F"/>
    <w:rsid w:val="31E22A36"/>
    <w:rsid w:val="321921D0"/>
    <w:rsid w:val="321D3A6E"/>
    <w:rsid w:val="32472899"/>
    <w:rsid w:val="32514E3C"/>
    <w:rsid w:val="3253123E"/>
    <w:rsid w:val="32582CF8"/>
    <w:rsid w:val="327A2C6E"/>
    <w:rsid w:val="32877139"/>
    <w:rsid w:val="32987598"/>
    <w:rsid w:val="329D5CF5"/>
    <w:rsid w:val="32B51EF8"/>
    <w:rsid w:val="32BD2B5B"/>
    <w:rsid w:val="32D700C1"/>
    <w:rsid w:val="32F80037"/>
    <w:rsid w:val="332A3E10"/>
    <w:rsid w:val="334212B2"/>
    <w:rsid w:val="33550FE6"/>
    <w:rsid w:val="335B44EF"/>
    <w:rsid w:val="33680D19"/>
    <w:rsid w:val="33752F9C"/>
    <w:rsid w:val="33941B0E"/>
    <w:rsid w:val="33E02FA5"/>
    <w:rsid w:val="33E06C24"/>
    <w:rsid w:val="33E5680D"/>
    <w:rsid w:val="33E81E5A"/>
    <w:rsid w:val="33EA2EAA"/>
    <w:rsid w:val="33EB36F8"/>
    <w:rsid w:val="33F64577"/>
    <w:rsid w:val="34207846"/>
    <w:rsid w:val="34214ADA"/>
    <w:rsid w:val="344A2B14"/>
    <w:rsid w:val="344F1ED9"/>
    <w:rsid w:val="34565015"/>
    <w:rsid w:val="34A044E2"/>
    <w:rsid w:val="34A75871"/>
    <w:rsid w:val="34CE72A2"/>
    <w:rsid w:val="34F30AB6"/>
    <w:rsid w:val="350C1B78"/>
    <w:rsid w:val="354B26A0"/>
    <w:rsid w:val="354B6B44"/>
    <w:rsid w:val="355157DD"/>
    <w:rsid w:val="355A28E3"/>
    <w:rsid w:val="35C40EAF"/>
    <w:rsid w:val="35C661CB"/>
    <w:rsid w:val="35F03248"/>
    <w:rsid w:val="36064819"/>
    <w:rsid w:val="367C4ADB"/>
    <w:rsid w:val="36AF6C5F"/>
    <w:rsid w:val="36C00A07"/>
    <w:rsid w:val="36C3270A"/>
    <w:rsid w:val="36CE3589"/>
    <w:rsid w:val="371A65D4"/>
    <w:rsid w:val="37337890"/>
    <w:rsid w:val="374675C3"/>
    <w:rsid w:val="375717D0"/>
    <w:rsid w:val="37893954"/>
    <w:rsid w:val="3793032E"/>
    <w:rsid w:val="37A12A4B"/>
    <w:rsid w:val="37A85C1F"/>
    <w:rsid w:val="37D050DF"/>
    <w:rsid w:val="37D72911"/>
    <w:rsid w:val="38037262"/>
    <w:rsid w:val="382D2531"/>
    <w:rsid w:val="38521F98"/>
    <w:rsid w:val="38545D10"/>
    <w:rsid w:val="388F4F9A"/>
    <w:rsid w:val="38991974"/>
    <w:rsid w:val="38AD71CE"/>
    <w:rsid w:val="38EC5F48"/>
    <w:rsid w:val="39047736"/>
    <w:rsid w:val="390810C8"/>
    <w:rsid w:val="395835DE"/>
    <w:rsid w:val="397D3044"/>
    <w:rsid w:val="39A93E39"/>
    <w:rsid w:val="39BA1BA2"/>
    <w:rsid w:val="39D30EB6"/>
    <w:rsid w:val="39D72754"/>
    <w:rsid w:val="3A23599A"/>
    <w:rsid w:val="3A2B2AA0"/>
    <w:rsid w:val="3A30455A"/>
    <w:rsid w:val="3A4B6C9E"/>
    <w:rsid w:val="3A663AD8"/>
    <w:rsid w:val="3A6F6E31"/>
    <w:rsid w:val="3AB40CE8"/>
    <w:rsid w:val="3ABD5DEE"/>
    <w:rsid w:val="3B0E03F8"/>
    <w:rsid w:val="3B343BD6"/>
    <w:rsid w:val="3B3F2CA7"/>
    <w:rsid w:val="3B4A33FA"/>
    <w:rsid w:val="3B771B98"/>
    <w:rsid w:val="3B81506E"/>
    <w:rsid w:val="3BA15622"/>
    <w:rsid w:val="3BB15227"/>
    <w:rsid w:val="3BB54D17"/>
    <w:rsid w:val="3BC1546A"/>
    <w:rsid w:val="3BD61084"/>
    <w:rsid w:val="3C017F5D"/>
    <w:rsid w:val="3C153A08"/>
    <w:rsid w:val="3C2679C3"/>
    <w:rsid w:val="3C5F4C83"/>
    <w:rsid w:val="3C7E15AD"/>
    <w:rsid w:val="3CFE449C"/>
    <w:rsid w:val="3D0A2E41"/>
    <w:rsid w:val="3D17730C"/>
    <w:rsid w:val="3D4445A5"/>
    <w:rsid w:val="3D8C7CFA"/>
    <w:rsid w:val="3D9F17DB"/>
    <w:rsid w:val="3DC43E29"/>
    <w:rsid w:val="3DD27E02"/>
    <w:rsid w:val="3DDA2813"/>
    <w:rsid w:val="3E18333B"/>
    <w:rsid w:val="3E23240C"/>
    <w:rsid w:val="3E300685"/>
    <w:rsid w:val="3E3143FD"/>
    <w:rsid w:val="3E371A14"/>
    <w:rsid w:val="3E3D0FF4"/>
    <w:rsid w:val="3E5A3606"/>
    <w:rsid w:val="3EC11C25"/>
    <w:rsid w:val="3EC55271"/>
    <w:rsid w:val="3ECC01FA"/>
    <w:rsid w:val="3EEB0A50"/>
    <w:rsid w:val="3F3643C1"/>
    <w:rsid w:val="3F536D21"/>
    <w:rsid w:val="3F7722E4"/>
    <w:rsid w:val="3F8A2017"/>
    <w:rsid w:val="3F8E1B07"/>
    <w:rsid w:val="3FA72BC9"/>
    <w:rsid w:val="3FB452E6"/>
    <w:rsid w:val="3FCA68B7"/>
    <w:rsid w:val="3FE6022A"/>
    <w:rsid w:val="3FF51B86"/>
    <w:rsid w:val="402C1320"/>
    <w:rsid w:val="405A744F"/>
    <w:rsid w:val="40785FF9"/>
    <w:rsid w:val="40C854ED"/>
    <w:rsid w:val="41436921"/>
    <w:rsid w:val="41474664"/>
    <w:rsid w:val="417E3DFD"/>
    <w:rsid w:val="419418DC"/>
    <w:rsid w:val="419453CF"/>
    <w:rsid w:val="41AF045B"/>
    <w:rsid w:val="41B94E35"/>
    <w:rsid w:val="41CE08E1"/>
    <w:rsid w:val="41D1217F"/>
    <w:rsid w:val="41E9396D"/>
    <w:rsid w:val="41FF6CEC"/>
    <w:rsid w:val="42073DF3"/>
    <w:rsid w:val="420A743F"/>
    <w:rsid w:val="42317CD1"/>
    <w:rsid w:val="42446DF5"/>
    <w:rsid w:val="42462B6D"/>
    <w:rsid w:val="4292190E"/>
    <w:rsid w:val="42982C9D"/>
    <w:rsid w:val="42A94EAA"/>
    <w:rsid w:val="42C6780A"/>
    <w:rsid w:val="42F44377"/>
    <w:rsid w:val="42F500EF"/>
    <w:rsid w:val="43120CA1"/>
    <w:rsid w:val="431762B8"/>
    <w:rsid w:val="431C38CE"/>
    <w:rsid w:val="432E715D"/>
    <w:rsid w:val="43346E69"/>
    <w:rsid w:val="43362BE2"/>
    <w:rsid w:val="43566DE0"/>
    <w:rsid w:val="436A63E7"/>
    <w:rsid w:val="437F6F13"/>
    <w:rsid w:val="438A0837"/>
    <w:rsid w:val="43A55671"/>
    <w:rsid w:val="43C024AB"/>
    <w:rsid w:val="43D94212"/>
    <w:rsid w:val="440A1978"/>
    <w:rsid w:val="441647C1"/>
    <w:rsid w:val="441B1DD7"/>
    <w:rsid w:val="44323BC9"/>
    <w:rsid w:val="443F1622"/>
    <w:rsid w:val="444255B6"/>
    <w:rsid w:val="44753296"/>
    <w:rsid w:val="44894F93"/>
    <w:rsid w:val="44A26055"/>
    <w:rsid w:val="44B26298"/>
    <w:rsid w:val="44C22253"/>
    <w:rsid w:val="44D0671E"/>
    <w:rsid w:val="44D73F50"/>
    <w:rsid w:val="44F62ADE"/>
    <w:rsid w:val="45232CF2"/>
    <w:rsid w:val="454964D0"/>
    <w:rsid w:val="456A6B72"/>
    <w:rsid w:val="45763769"/>
    <w:rsid w:val="457C0654"/>
    <w:rsid w:val="458176EE"/>
    <w:rsid w:val="45AA3413"/>
    <w:rsid w:val="45BA2C72"/>
    <w:rsid w:val="45BB5620"/>
    <w:rsid w:val="45CC3389"/>
    <w:rsid w:val="45E87A97"/>
    <w:rsid w:val="45F1255A"/>
    <w:rsid w:val="460348D1"/>
    <w:rsid w:val="460F3276"/>
    <w:rsid w:val="46911FB3"/>
    <w:rsid w:val="469D5BD9"/>
    <w:rsid w:val="46DC75FC"/>
    <w:rsid w:val="46E62661"/>
    <w:rsid w:val="46E91D19"/>
    <w:rsid w:val="47392CA0"/>
    <w:rsid w:val="475353E4"/>
    <w:rsid w:val="47543636"/>
    <w:rsid w:val="47574ED5"/>
    <w:rsid w:val="47775577"/>
    <w:rsid w:val="478B4B7E"/>
    <w:rsid w:val="47AC3472"/>
    <w:rsid w:val="47B10A89"/>
    <w:rsid w:val="47B642F1"/>
    <w:rsid w:val="47B6609F"/>
    <w:rsid w:val="47C655AE"/>
    <w:rsid w:val="47D26C51"/>
    <w:rsid w:val="47F646ED"/>
    <w:rsid w:val="48166006"/>
    <w:rsid w:val="482D3E87"/>
    <w:rsid w:val="482F7BFF"/>
    <w:rsid w:val="4859752E"/>
    <w:rsid w:val="486C0E54"/>
    <w:rsid w:val="48733F90"/>
    <w:rsid w:val="48741AB6"/>
    <w:rsid w:val="48E21116"/>
    <w:rsid w:val="48F74BC1"/>
    <w:rsid w:val="49423962"/>
    <w:rsid w:val="4989333F"/>
    <w:rsid w:val="499441BE"/>
    <w:rsid w:val="499917D4"/>
    <w:rsid w:val="49A07007"/>
    <w:rsid w:val="49B20AE8"/>
    <w:rsid w:val="49CF169A"/>
    <w:rsid w:val="49E62540"/>
    <w:rsid w:val="49ED38CE"/>
    <w:rsid w:val="49F66C27"/>
    <w:rsid w:val="4A49144C"/>
    <w:rsid w:val="4A6242BC"/>
    <w:rsid w:val="4A7D2EA4"/>
    <w:rsid w:val="4A8204BA"/>
    <w:rsid w:val="4A963F66"/>
    <w:rsid w:val="4AAA7A11"/>
    <w:rsid w:val="4AC97E25"/>
    <w:rsid w:val="4ACE3700"/>
    <w:rsid w:val="4ACF1226"/>
    <w:rsid w:val="4AD30D16"/>
    <w:rsid w:val="4ADA20A4"/>
    <w:rsid w:val="4AE66C9B"/>
    <w:rsid w:val="4B0E1D4E"/>
    <w:rsid w:val="4B0E7FA0"/>
    <w:rsid w:val="4B294DDA"/>
    <w:rsid w:val="4B5A1437"/>
    <w:rsid w:val="4B5E0F27"/>
    <w:rsid w:val="4BAB57EF"/>
    <w:rsid w:val="4BCA5E8E"/>
    <w:rsid w:val="4BCF5981"/>
    <w:rsid w:val="4BE96317"/>
    <w:rsid w:val="4C043151"/>
    <w:rsid w:val="4C30709C"/>
    <w:rsid w:val="4C786019"/>
    <w:rsid w:val="4C7B3413"/>
    <w:rsid w:val="4C83051A"/>
    <w:rsid w:val="4C96649F"/>
    <w:rsid w:val="4C9D15DC"/>
    <w:rsid w:val="4CA706AC"/>
    <w:rsid w:val="4CF51418"/>
    <w:rsid w:val="4CFD02CC"/>
    <w:rsid w:val="4D44414D"/>
    <w:rsid w:val="4D5F0F87"/>
    <w:rsid w:val="4D5F4AE3"/>
    <w:rsid w:val="4D73233C"/>
    <w:rsid w:val="4D8B58D8"/>
    <w:rsid w:val="4D97427D"/>
    <w:rsid w:val="4DB841F3"/>
    <w:rsid w:val="4DBD7218"/>
    <w:rsid w:val="4DBD7A5B"/>
    <w:rsid w:val="4DCD7C9F"/>
    <w:rsid w:val="4DFF1E22"/>
    <w:rsid w:val="4E17716C"/>
    <w:rsid w:val="4E2A3343"/>
    <w:rsid w:val="4E41243B"/>
    <w:rsid w:val="4E6A1991"/>
    <w:rsid w:val="4E9407BC"/>
    <w:rsid w:val="4EC217CD"/>
    <w:rsid w:val="4EE5726A"/>
    <w:rsid w:val="4EFD0A57"/>
    <w:rsid w:val="4F082F58"/>
    <w:rsid w:val="4F29184C"/>
    <w:rsid w:val="4F4246BC"/>
    <w:rsid w:val="4F7D74A2"/>
    <w:rsid w:val="4FA17635"/>
    <w:rsid w:val="4FA62E9D"/>
    <w:rsid w:val="4FF21C3E"/>
    <w:rsid w:val="4FF9121F"/>
    <w:rsid w:val="5060304C"/>
    <w:rsid w:val="50724B2D"/>
    <w:rsid w:val="508309F9"/>
    <w:rsid w:val="50873D2A"/>
    <w:rsid w:val="509727E6"/>
    <w:rsid w:val="50A56CB1"/>
    <w:rsid w:val="50E61077"/>
    <w:rsid w:val="514B3CFC"/>
    <w:rsid w:val="516923D4"/>
    <w:rsid w:val="516A7EFA"/>
    <w:rsid w:val="51956D25"/>
    <w:rsid w:val="51A77B16"/>
    <w:rsid w:val="51B15B29"/>
    <w:rsid w:val="51EE4687"/>
    <w:rsid w:val="5201085F"/>
    <w:rsid w:val="520914C1"/>
    <w:rsid w:val="523227C6"/>
    <w:rsid w:val="527C7EE5"/>
    <w:rsid w:val="52976ACD"/>
    <w:rsid w:val="52AB2578"/>
    <w:rsid w:val="52C378C2"/>
    <w:rsid w:val="52D95337"/>
    <w:rsid w:val="52D970E6"/>
    <w:rsid w:val="52E77A54"/>
    <w:rsid w:val="52FD12D2"/>
    <w:rsid w:val="52FE6B4C"/>
    <w:rsid w:val="53051C89"/>
    <w:rsid w:val="53605111"/>
    <w:rsid w:val="536746F1"/>
    <w:rsid w:val="53B67427"/>
    <w:rsid w:val="53C90F08"/>
    <w:rsid w:val="53DD0E57"/>
    <w:rsid w:val="53EC4BF7"/>
    <w:rsid w:val="54014B46"/>
    <w:rsid w:val="540957A8"/>
    <w:rsid w:val="5415414D"/>
    <w:rsid w:val="541D3002"/>
    <w:rsid w:val="542919A7"/>
    <w:rsid w:val="54316AAD"/>
    <w:rsid w:val="54370568"/>
    <w:rsid w:val="5438608E"/>
    <w:rsid w:val="54E3424B"/>
    <w:rsid w:val="54F63F7F"/>
    <w:rsid w:val="55102B67"/>
    <w:rsid w:val="5560589C"/>
    <w:rsid w:val="55915A56"/>
    <w:rsid w:val="559612BE"/>
    <w:rsid w:val="55992B5C"/>
    <w:rsid w:val="559F4616"/>
    <w:rsid w:val="55C20305"/>
    <w:rsid w:val="561D19DF"/>
    <w:rsid w:val="56585D49"/>
    <w:rsid w:val="56586573"/>
    <w:rsid w:val="56757125"/>
    <w:rsid w:val="56861332"/>
    <w:rsid w:val="56AB2B47"/>
    <w:rsid w:val="56FB3ACE"/>
    <w:rsid w:val="570A5ABF"/>
    <w:rsid w:val="57122BC6"/>
    <w:rsid w:val="57266671"/>
    <w:rsid w:val="572A43B4"/>
    <w:rsid w:val="572B3C88"/>
    <w:rsid w:val="572D5C52"/>
    <w:rsid w:val="57325016"/>
    <w:rsid w:val="57633422"/>
    <w:rsid w:val="57882E88"/>
    <w:rsid w:val="57890FF4"/>
    <w:rsid w:val="579E08FE"/>
    <w:rsid w:val="57AE6D93"/>
    <w:rsid w:val="57BF2D4E"/>
    <w:rsid w:val="57E24C8E"/>
    <w:rsid w:val="57EF4CB5"/>
    <w:rsid w:val="580E15DF"/>
    <w:rsid w:val="58474AF1"/>
    <w:rsid w:val="58847AF3"/>
    <w:rsid w:val="58BF3A95"/>
    <w:rsid w:val="58C425E6"/>
    <w:rsid w:val="58F00CE5"/>
    <w:rsid w:val="58FC3B2E"/>
    <w:rsid w:val="58FC58DC"/>
    <w:rsid w:val="5900361E"/>
    <w:rsid w:val="590429E2"/>
    <w:rsid w:val="590B3D71"/>
    <w:rsid w:val="59140E77"/>
    <w:rsid w:val="591470C9"/>
    <w:rsid w:val="59352B9C"/>
    <w:rsid w:val="59605E6B"/>
    <w:rsid w:val="599E6993"/>
    <w:rsid w:val="59B12B6A"/>
    <w:rsid w:val="59BB7545"/>
    <w:rsid w:val="59F64A21"/>
    <w:rsid w:val="5A00764E"/>
    <w:rsid w:val="5A056A12"/>
    <w:rsid w:val="5A074538"/>
    <w:rsid w:val="5A166E71"/>
    <w:rsid w:val="5A186745"/>
    <w:rsid w:val="5A252C10"/>
    <w:rsid w:val="5A3B2434"/>
    <w:rsid w:val="5A7616BE"/>
    <w:rsid w:val="5AE44879"/>
    <w:rsid w:val="5AEB44DA"/>
    <w:rsid w:val="5AFD5CB6"/>
    <w:rsid w:val="5B0171D9"/>
    <w:rsid w:val="5B0B44FC"/>
    <w:rsid w:val="5B6559BA"/>
    <w:rsid w:val="5B751975"/>
    <w:rsid w:val="5B922527"/>
    <w:rsid w:val="5B951068"/>
    <w:rsid w:val="5B953DC6"/>
    <w:rsid w:val="5BBB382C"/>
    <w:rsid w:val="5C25514A"/>
    <w:rsid w:val="5C3B2BBF"/>
    <w:rsid w:val="5C7659A5"/>
    <w:rsid w:val="5CAB38A1"/>
    <w:rsid w:val="5CC2508E"/>
    <w:rsid w:val="5CCE57E1"/>
    <w:rsid w:val="5CD03307"/>
    <w:rsid w:val="5CDA5F34"/>
    <w:rsid w:val="5CE40B61"/>
    <w:rsid w:val="5CF36FF6"/>
    <w:rsid w:val="5D290C69"/>
    <w:rsid w:val="5D681792"/>
    <w:rsid w:val="5D6D0B56"/>
    <w:rsid w:val="5D942587"/>
    <w:rsid w:val="5DB91FED"/>
    <w:rsid w:val="5DBE13B2"/>
    <w:rsid w:val="5DC53AB8"/>
    <w:rsid w:val="5DD07337"/>
    <w:rsid w:val="5DEC180E"/>
    <w:rsid w:val="5DFB0858"/>
    <w:rsid w:val="5DFB43B4"/>
    <w:rsid w:val="5E14191A"/>
    <w:rsid w:val="5E2C0A11"/>
    <w:rsid w:val="5E6F4DA2"/>
    <w:rsid w:val="5E8545C5"/>
    <w:rsid w:val="5E857496"/>
    <w:rsid w:val="5E8819C0"/>
    <w:rsid w:val="5E8E5228"/>
    <w:rsid w:val="5EAA7B88"/>
    <w:rsid w:val="5EE66E12"/>
    <w:rsid w:val="5EF37781"/>
    <w:rsid w:val="5EF62DCD"/>
    <w:rsid w:val="5F751F44"/>
    <w:rsid w:val="5F7B4BBD"/>
    <w:rsid w:val="5F8328B3"/>
    <w:rsid w:val="5F8959EF"/>
    <w:rsid w:val="5F8D54E0"/>
    <w:rsid w:val="5FC44C79"/>
    <w:rsid w:val="60123C37"/>
    <w:rsid w:val="601C6864"/>
    <w:rsid w:val="601E25DC"/>
    <w:rsid w:val="60237BF2"/>
    <w:rsid w:val="60430294"/>
    <w:rsid w:val="605B738C"/>
    <w:rsid w:val="60956D42"/>
    <w:rsid w:val="6098413C"/>
    <w:rsid w:val="60A24FBB"/>
    <w:rsid w:val="60CE7B5E"/>
    <w:rsid w:val="60EA6962"/>
    <w:rsid w:val="60FB291D"/>
    <w:rsid w:val="611834CF"/>
    <w:rsid w:val="614147D4"/>
    <w:rsid w:val="616B7AA3"/>
    <w:rsid w:val="619B1A52"/>
    <w:rsid w:val="61CD6067"/>
    <w:rsid w:val="61F94C3C"/>
    <w:rsid w:val="62061579"/>
    <w:rsid w:val="62465E1A"/>
    <w:rsid w:val="62467BC8"/>
    <w:rsid w:val="626544F2"/>
    <w:rsid w:val="628030DA"/>
    <w:rsid w:val="62960B4F"/>
    <w:rsid w:val="6299063F"/>
    <w:rsid w:val="62C76F5B"/>
    <w:rsid w:val="62CC517A"/>
    <w:rsid w:val="62DD052C"/>
    <w:rsid w:val="62F13FD7"/>
    <w:rsid w:val="63332842"/>
    <w:rsid w:val="635307EE"/>
    <w:rsid w:val="63696897"/>
    <w:rsid w:val="637846F9"/>
    <w:rsid w:val="63977DC5"/>
    <w:rsid w:val="63B079EF"/>
    <w:rsid w:val="63C45248"/>
    <w:rsid w:val="63D556A7"/>
    <w:rsid w:val="63DC6A36"/>
    <w:rsid w:val="63E853DA"/>
    <w:rsid w:val="64047D3A"/>
    <w:rsid w:val="6417083B"/>
    <w:rsid w:val="64312708"/>
    <w:rsid w:val="64462101"/>
    <w:rsid w:val="647629E6"/>
    <w:rsid w:val="6477675E"/>
    <w:rsid w:val="648072A6"/>
    <w:rsid w:val="6481138B"/>
    <w:rsid w:val="648669A1"/>
    <w:rsid w:val="64D37E39"/>
    <w:rsid w:val="64D43063"/>
    <w:rsid w:val="64DF4F6A"/>
    <w:rsid w:val="64E35BA2"/>
    <w:rsid w:val="64F63B27"/>
    <w:rsid w:val="65006754"/>
    <w:rsid w:val="65711400"/>
    <w:rsid w:val="658A426F"/>
    <w:rsid w:val="65AE4402"/>
    <w:rsid w:val="65CD2ADA"/>
    <w:rsid w:val="65F8742B"/>
    <w:rsid w:val="65FD021C"/>
    <w:rsid w:val="66106E6A"/>
    <w:rsid w:val="661A71F1"/>
    <w:rsid w:val="661F0E5C"/>
    <w:rsid w:val="66527BAE"/>
    <w:rsid w:val="666F3B91"/>
    <w:rsid w:val="66886A01"/>
    <w:rsid w:val="668A4527"/>
    <w:rsid w:val="66911D59"/>
    <w:rsid w:val="66C0263F"/>
    <w:rsid w:val="66D734E4"/>
    <w:rsid w:val="66E31E89"/>
    <w:rsid w:val="6706304F"/>
    <w:rsid w:val="67184229"/>
    <w:rsid w:val="67423054"/>
    <w:rsid w:val="676E3E49"/>
    <w:rsid w:val="67852F40"/>
    <w:rsid w:val="67902011"/>
    <w:rsid w:val="67C41CBB"/>
    <w:rsid w:val="67E97973"/>
    <w:rsid w:val="68077DF9"/>
    <w:rsid w:val="682269E1"/>
    <w:rsid w:val="682D7860"/>
    <w:rsid w:val="68365AA9"/>
    <w:rsid w:val="683F3A37"/>
    <w:rsid w:val="68617509"/>
    <w:rsid w:val="687A05CB"/>
    <w:rsid w:val="68AB69D7"/>
    <w:rsid w:val="68B00491"/>
    <w:rsid w:val="68C83A2C"/>
    <w:rsid w:val="68C857DA"/>
    <w:rsid w:val="690A7BA1"/>
    <w:rsid w:val="691C1682"/>
    <w:rsid w:val="691E189E"/>
    <w:rsid w:val="69586B5E"/>
    <w:rsid w:val="696848C8"/>
    <w:rsid w:val="696D1EDE"/>
    <w:rsid w:val="69731BEA"/>
    <w:rsid w:val="69807E63"/>
    <w:rsid w:val="69855479"/>
    <w:rsid w:val="69B61AD7"/>
    <w:rsid w:val="69F06D97"/>
    <w:rsid w:val="6A06480C"/>
    <w:rsid w:val="6A0665BA"/>
    <w:rsid w:val="6A1A4241"/>
    <w:rsid w:val="6A222CC8"/>
    <w:rsid w:val="6A2B7DCF"/>
    <w:rsid w:val="6A334ED5"/>
    <w:rsid w:val="6A7D43A3"/>
    <w:rsid w:val="6A835E5D"/>
    <w:rsid w:val="6A9A6D03"/>
    <w:rsid w:val="6ABB67D3"/>
    <w:rsid w:val="6AEA7C8A"/>
    <w:rsid w:val="6B252A70"/>
    <w:rsid w:val="6B4A0729"/>
    <w:rsid w:val="6B601CFA"/>
    <w:rsid w:val="6B6317EA"/>
    <w:rsid w:val="6BA8544F"/>
    <w:rsid w:val="6BC93D43"/>
    <w:rsid w:val="6BD3071E"/>
    <w:rsid w:val="6BE50451"/>
    <w:rsid w:val="6C046B2A"/>
    <w:rsid w:val="6C353187"/>
    <w:rsid w:val="6C7D68DC"/>
    <w:rsid w:val="6CA1081C"/>
    <w:rsid w:val="6CBC7404"/>
    <w:rsid w:val="6CD6254A"/>
    <w:rsid w:val="6CE30E35"/>
    <w:rsid w:val="6CF46B9E"/>
    <w:rsid w:val="6CFA617E"/>
    <w:rsid w:val="6CFB4433"/>
    <w:rsid w:val="6D062D75"/>
    <w:rsid w:val="6D0E5786"/>
    <w:rsid w:val="6D1234C8"/>
    <w:rsid w:val="6D1E00BF"/>
    <w:rsid w:val="6D4D2752"/>
    <w:rsid w:val="6D52499B"/>
    <w:rsid w:val="6D534714"/>
    <w:rsid w:val="6D611D5A"/>
    <w:rsid w:val="6D741A8D"/>
    <w:rsid w:val="6DA02882"/>
    <w:rsid w:val="6DA87988"/>
    <w:rsid w:val="6DAF6F69"/>
    <w:rsid w:val="6DB36A59"/>
    <w:rsid w:val="6DBB590E"/>
    <w:rsid w:val="6DBE53FE"/>
    <w:rsid w:val="6DD53388"/>
    <w:rsid w:val="6DDD7632"/>
    <w:rsid w:val="6DE138FF"/>
    <w:rsid w:val="6DFD5F26"/>
    <w:rsid w:val="6E192634"/>
    <w:rsid w:val="6E364D54"/>
    <w:rsid w:val="6E526272"/>
    <w:rsid w:val="6E66587A"/>
    <w:rsid w:val="6E7D2BC3"/>
    <w:rsid w:val="6E8126B3"/>
    <w:rsid w:val="6E8B52E0"/>
    <w:rsid w:val="6E9D6D15"/>
    <w:rsid w:val="6ED22F0F"/>
    <w:rsid w:val="6EDA6267"/>
    <w:rsid w:val="6EFC61DE"/>
    <w:rsid w:val="6F26325B"/>
    <w:rsid w:val="6F3E67F6"/>
    <w:rsid w:val="6FEA4288"/>
    <w:rsid w:val="70311EB7"/>
    <w:rsid w:val="703961AA"/>
    <w:rsid w:val="70495453"/>
    <w:rsid w:val="706202C3"/>
    <w:rsid w:val="70904E30"/>
    <w:rsid w:val="70967F6C"/>
    <w:rsid w:val="709A3F00"/>
    <w:rsid w:val="709A5CAE"/>
    <w:rsid w:val="70A24B63"/>
    <w:rsid w:val="70A408DB"/>
    <w:rsid w:val="70C63CA2"/>
    <w:rsid w:val="70DD3DED"/>
    <w:rsid w:val="71075032"/>
    <w:rsid w:val="71257C6E"/>
    <w:rsid w:val="71493231"/>
    <w:rsid w:val="714E6086"/>
    <w:rsid w:val="71526589"/>
    <w:rsid w:val="718843C5"/>
    <w:rsid w:val="718B3849"/>
    <w:rsid w:val="719E17CE"/>
    <w:rsid w:val="71C34D91"/>
    <w:rsid w:val="71D92806"/>
    <w:rsid w:val="71ED0674"/>
    <w:rsid w:val="720F6228"/>
    <w:rsid w:val="72190E1E"/>
    <w:rsid w:val="72435ED2"/>
    <w:rsid w:val="725D6F93"/>
    <w:rsid w:val="72730565"/>
    <w:rsid w:val="727F515C"/>
    <w:rsid w:val="72987FCC"/>
    <w:rsid w:val="72D1083B"/>
    <w:rsid w:val="730D6C0C"/>
    <w:rsid w:val="732301DD"/>
    <w:rsid w:val="732775A1"/>
    <w:rsid w:val="732B0E40"/>
    <w:rsid w:val="734463A5"/>
    <w:rsid w:val="735A1725"/>
    <w:rsid w:val="736B56E0"/>
    <w:rsid w:val="73724CC1"/>
    <w:rsid w:val="739C3AEB"/>
    <w:rsid w:val="73CD1EF7"/>
    <w:rsid w:val="73EF00BF"/>
    <w:rsid w:val="74017DF2"/>
    <w:rsid w:val="74085625"/>
    <w:rsid w:val="740D6797"/>
    <w:rsid w:val="74371495"/>
    <w:rsid w:val="74424693"/>
    <w:rsid w:val="745148D6"/>
    <w:rsid w:val="746A3BEA"/>
    <w:rsid w:val="7479207F"/>
    <w:rsid w:val="74827185"/>
    <w:rsid w:val="74850A24"/>
    <w:rsid w:val="74CC6652"/>
    <w:rsid w:val="74D6127F"/>
    <w:rsid w:val="74E20230"/>
    <w:rsid w:val="74FC0CE6"/>
    <w:rsid w:val="75273889"/>
    <w:rsid w:val="754B7577"/>
    <w:rsid w:val="75587EE6"/>
    <w:rsid w:val="755E374E"/>
    <w:rsid w:val="757C1E26"/>
    <w:rsid w:val="757E5B9F"/>
    <w:rsid w:val="75B570E6"/>
    <w:rsid w:val="75C4732A"/>
    <w:rsid w:val="75DE488F"/>
    <w:rsid w:val="75F93477"/>
    <w:rsid w:val="761107C1"/>
    <w:rsid w:val="761D53B8"/>
    <w:rsid w:val="762B1157"/>
    <w:rsid w:val="762B73A9"/>
    <w:rsid w:val="763149BF"/>
    <w:rsid w:val="767D7C04"/>
    <w:rsid w:val="76AF3B36"/>
    <w:rsid w:val="76C9109B"/>
    <w:rsid w:val="76E00193"/>
    <w:rsid w:val="770E6AAE"/>
    <w:rsid w:val="773D55E5"/>
    <w:rsid w:val="7745075A"/>
    <w:rsid w:val="77505319"/>
    <w:rsid w:val="776E579F"/>
    <w:rsid w:val="777803CC"/>
    <w:rsid w:val="77876861"/>
    <w:rsid w:val="77ED2B68"/>
    <w:rsid w:val="781C51FB"/>
    <w:rsid w:val="782F4F2E"/>
    <w:rsid w:val="78436C2C"/>
    <w:rsid w:val="789254BD"/>
    <w:rsid w:val="78FA19E0"/>
    <w:rsid w:val="78FD327E"/>
    <w:rsid w:val="78FF0DA4"/>
    <w:rsid w:val="791B1956"/>
    <w:rsid w:val="794511BD"/>
    <w:rsid w:val="795F7A95"/>
    <w:rsid w:val="796B468C"/>
    <w:rsid w:val="796B643A"/>
    <w:rsid w:val="79782905"/>
    <w:rsid w:val="79B55907"/>
    <w:rsid w:val="7A1B7E60"/>
    <w:rsid w:val="7A252A8D"/>
    <w:rsid w:val="7A5C3FD5"/>
    <w:rsid w:val="7A7632E8"/>
    <w:rsid w:val="7A770E0E"/>
    <w:rsid w:val="7A8377B3"/>
    <w:rsid w:val="7A8C2B0C"/>
    <w:rsid w:val="7A9C0875"/>
    <w:rsid w:val="7AE00762"/>
    <w:rsid w:val="7B9F686F"/>
    <w:rsid w:val="7BAC0B13"/>
    <w:rsid w:val="7BB120FE"/>
    <w:rsid w:val="7BC2430B"/>
    <w:rsid w:val="7BFD5343"/>
    <w:rsid w:val="7C1F350C"/>
    <w:rsid w:val="7C466CEA"/>
    <w:rsid w:val="7C5238E1"/>
    <w:rsid w:val="7C52743D"/>
    <w:rsid w:val="7C662EE9"/>
    <w:rsid w:val="7C817D22"/>
    <w:rsid w:val="7CB24380"/>
    <w:rsid w:val="7CB4634A"/>
    <w:rsid w:val="7CF33CFB"/>
    <w:rsid w:val="7CF51217"/>
    <w:rsid w:val="7D376633"/>
    <w:rsid w:val="7D39684F"/>
    <w:rsid w:val="7D4E22FA"/>
    <w:rsid w:val="7D5D253D"/>
    <w:rsid w:val="7D6E64F9"/>
    <w:rsid w:val="7D7004C3"/>
    <w:rsid w:val="7D733B0F"/>
    <w:rsid w:val="7D741635"/>
    <w:rsid w:val="7D853842"/>
    <w:rsid w:val="7D891584"/>
    <w:rsid w:val="7DA737B9"/>
    <w:rsid w:val="7DBC3708"/>
    <w:rsid w:val="7DDD6247"/>
    <w:rsid w:val="7E0B1F99"/>
    <w:rsid w:val="7E38629C"/>
    <w:rsid w:val="7E582D05"/>
    <w:rsid w:val="7E5C27F5"/>
    <w:rsid w:val="7E891110"/>
    <w:rsid w:val="7ED71E7C"/>
    <w:rsid w:val="7EDC1B88"/>
    <w:rsid w:val="7F144E7E"/>
    <w:rsid w:val="7F3B065C"/>
    <w:rsid w:val="7F403EC5"/>
    <w:rsid w:val="7F6556D9"/>
    <w:rsid w:val="7F7B6CAB"/>
    <w:rsid w:val="7F7D6EC7"/>
    <w:rsid w:val="7F835A8D"/>
    <w:rsid w:val="7F875650"/>
    <w:rsid w:val="7F995383"/>
    <w:rsid w:val="7F9D1317"/>
    <w:rsid w:val="7FCE14D1"/>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_GB2312" w:hAnsi="仿宋_GB2312" w:eastAsia="仿宋_GB2312" w:cs="仿宋_GB2312"/>
      <w:sz w:val="28"/>
      <w:szCs w:val="28"/>
    </w:r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7">
    <w:name w:val="Strong"/>
    <w:basedOn w:val="6"/>
    <w:qFormat/>
    <w:uiPriority w:val="0"/>
    <w:rPr>
      <w:b/>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rPr>
  </w:style>
  <w:style w:type="paragraph" w:customStyle="1" w:styleId="10">
    <w:name w:val="BodyText"/>
    <w:basedOn w:val="1"/>
    <w:next w:val="1"/>
    <w:autoRedefine/>
    <w:qFormat/>
    <w:uiPriority w:val="0"/>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84fecd09-75ce-4fda-967a-7bddceb01a29</errorID>
      <errorWord>了</errorWord>
      <group>L1_Grammar</group>
      <groupName>语法问题</groupName>
      <ability>L2_Order</ability>
      <abilityName>语序不当</abilityName>
      <candidateList>
        <item>的</item>
      </candidateList>
      <explain>句子可能没有遵循时空、逻辑顺序，或者介词、关联词等位置不当。</explain>
      <paraID>4CC4D6F2</paraID>
      <start>26</start>
      <end>27</end>
      <status>ignored</status>
      <modifiedWord/>
      <trackRevisions>false</trackRevisions>
    </reviewItem>
    <reviewItem>
      <errorID>ffb5df37-aa9d-49e2-8e84-5a1a30ec15dc</errorID>
      <errorWord>世界观、人生观和价值观</errorWord>
      <group>L1_Political</group>
      <groupName>政治性问题</groupName>
      <ability>L2_Keyword</ability>
      <abilityName>固定表述</abilityName>
      <candidateList>
        <item>世界观、人生观、价值观</item>
      </candidateList>
      <explain>词汇“世界观、人生观、价值观”在特定场景下为固定表述形式，请确认此处的“世界观、人生观和价值观”是否存在不当。</explain>
      <paraID>7986074E</paraID>
      <start>42</start>
      <end>53</end>
      <status>modified</status>
      <modifiedWord>世界观、人生观、价值观</modifiedWord>
      <trackRevisions>false</trackRevisions>
    </reviewItem>
    <reviewItem>
      <errorID>b987a7ca-5d5d-4100-a730-bbd52f05d86c</errorID>
      <errorWord>二十大</errorWord>
      <group>L1_Political</group>
      <groupName>政治性问题</groupName>
      <ability>L2_Unpolitical</ability>
      <abilityName>政治敏感错误</abilityName>
      <candidateList>
        <item>党的二十大</item>
      </candidateList>
      <explain/>
      <paraID>7986074E</paraID>
      <start>61</start>
      <end>64</end>
      <status>ignored</status>
      <modifiedWord/>
      <trackRevisions>false</trackRevisions>
    </reviewItem>
    <reviewItem>
      <errorID>35783f18-6323-41f9-9df6-d1b0d8ffaea3</errorID>
      <errorWord>筑</errorWord>
      <group>L1_Word</group>
      <groupName>字词问题</groupName>
      <ability>L2_Typo</ability>
      <abilityName>字词错误</abilityName>
      <candidateList>
        <item>铸</item>
      </candidateList>
      <explain/>
      <paraID>7986074E</paraID>
      <start>69</start>
      <end>70</end>
      <status>modified</status>
      <modifiedWord>铸</modifiedWord>
      <trackRevisions>false</trackRevisions>
    </reviewItem>
    <reviewItem>
      <errorID>17215cff-8600-4ef7-92c2-a528a3306108</errorID>
      <errorWord>增强“四个意识”、坚定“四个自信”、做到 “两个维护”</errorWord>
      <group>L1_Political</group>
      <groupName>政治性问题</groupName>
      <ability>L2_Keyword</ability>
      <abilityName>固定表述</abilityName>
      <candidateList>
        <item>增强“四个意识”、坚定“四个自信”、做到“两个维护”</item>
      </candidateList>
      <explain>词汇“增强“四个意识”、坚定“四个自信”、做到“两个维护””在特定场景下为固定表述形式，请确认此处的“增强“四个意识”、坚定“四个自信”、做到 “两个维护””是否存在不当。</explain>
      <paraID>7986074E</paraID>
      <start>291</start>
      <end>318</end>
      <status>ignored</status>
      <modifiedWord/>
      <trackRevisions>false</trackRevisions>
    </reviewItem>
    <reviewItem>
      <errorID>ea089397-3f79-4453-aa1d-a3e6e42f31d6</errorID>
      <errorWord>以例促改</errorWord>
      <group>L1_Political</group>
      <groupName>政治性问题</groupName>
      <ability>L2_Keyword</ability>
      <abilityName>固定表述</abilityName>
      <candidateList>
        <item>以案促改</item>
      </candidateList>
      <explain>词汇“以案促改”在特定场景下为固定表述形式，请确认此处的“以例促改”是否存在不当。</explain>
      <paraID>381DB1ED</paraID>
      <start>117</start>
      <end>121</end>
      <status>ignored</status>
      <modifiedWord/>
      <trackRevisions>false</trackRevisions>
    </reviewItem>
    <reviewItem>
      <errorID>85774b01-46ac-4bbe-b871-a8a5e224730c</errorID>
      <errorWord>年年</errorWord>
      <group>L1_Word</group>
      <groupName>字词问题</groupName>
      <ability>L2_Typo</ability>
      <abilityName>字词错误</abilityName>
      <candidateList>
        <item>年</item>
      </candidateList>
      <explain/>
      <paraID> E5EFEDD</paraID>
      <start>20</start>
      <end>21</end>
      <status>modified</status>
      <modifiedWord>年</modifiedWord>
      <trackRevisions>false</trackRevisions>
    </reviewItem>
    <reviewItem>
      <errorID>b9855e9a-3a95-44e6-b34a-23cb7be14d5a</errorID>
      <errorWord>习思想</errorWord>
      <group>L1_Sensitive</group>
      <groupName>敏感问题</groupName>
      <ability>L2_Sensitive</ability>
      <abilityName>敏感内容</abilityName>
      <candidateList/>
      <explain>【敏感内容】句中涉及敏感性内容的违规表述，请注意甄别。</explain>
      <paraID>553FD994</paraID>
      <start>2</start>
      <end>5</end>
      <status>ignored</status>
      <modifiedWord/>
      <trackRevisions>false</trackRevisions>
    </reviewItem>
    <reviewItem>
      <errorID>3d8b295e-090c-4daa-b5cd-b062dba1071b</errorID>
      <errorWord>,</errorWord>
      <group>L1_Format</group>
      <groupName>格式问题</groupName>
      <ability>L2_HalfPunc</ability>
      <abilityName>全半角检查</abilityName>
      <candidateList>
        <item>，</item>
      </candidateList>
      <explain>文本全半角错误。</explain>
      <paraID>25275773</paraID>
      <start>79</start>
      <end>80</end>
      <status>modified</status>
      <modifiedWord>，</modifiedWord>
      <trackRevisions>false</trackRevisions>
    </reviewItem>
    <reviewItem>
      <errorID>b112393b-19e4-4684-b940-f800bd4d725e</errorID>
      <errorWord>适应期</errorWord>
      <group>L1_Word</group>
      <groupName>字词问题</groupName>
      <ability>L2_Typo</ability>
      <abilityName>字词错误</abilityName>
      <candidateList>
        <item>适应</item>
      </candidateList>
      <explain/>
      <paraID>40079F60</paraID>
      <start>46</start>
      <end>48</end>
      <status>modified</status>
      <modifiedWord>适应</modifiedWord>
      <trackRevisions>false</trackRevisions>
    </reviewItem>
    <reviewItem>
      <errorID>7232ee98-1075-4da9-95a2-25b6c424f41e</errorID>
      <errorWord>亟需建立</errorWord>
      <group>L1_Word</group>
      <groupName>字词问题</groupName>
      <ability>L2_Typo</ability>
      <abilityName>字词错误</abilityName>
      <candidateList>
        <item>亟须建立</item>
      </candidateList>
      <explain/>
      <paraID>3773DA4C</paraID>
      <start>8</start>
      <end>12</end>
      <status>ignored</status>
      <modifiedWord/>
      <trackRevisions>false</trackRevisions>
    </reviewItem>
    <reviewItem>
      <errorID>f0863132-afdd-4bd6-8b87-c4059206a93a</errorID>
      <errorWord>本科生</errorWord>
      <group>L1_Word</group>
      <groupName>字词问题</groupName>
      <ability>L2_Typo</ability>
      <abilityName>字词错误</abilityName>
      <candidateList>
        <item>本科</item>
      </candidateList>
      <explain/>
      <paraID>533CC30C</paraID>
      <start>17</start>
      <end>19</end>
      <status>modified</status>
      <modifiedWord>本科</modifiedWord>
      <trackRevisions>false</trackRevisions>
    </reviewItem>
    <reviewItem>
      <errorID>1609fdbe-3565-40d0-b56e-da88e4251b81</errorID>
      <errorWord>院</errorWord>
      <group>L1_Word</group>
      <groupName>字词问题</groupName>
      <ability>L2_Typo</ability>
      <abilityName>字词错误</abilityName>
      <candidateList>
        <item>院主</item>
      </candidateList>
      <explain/>
      <paraID>77C93F8A</paraID>
      <start>41</start>
      <end>42</end>
      <status>ignored</status>
      <modifiedWord/>
      <trackRevisions>false</trackRevisions>
    </reviewItem>
    <reviewItem>
      <errorID>632c3857-59d0-41ef-a13c-5ce24782376a</errorID>
      <errorWord>【2023】152号</errorWord>
      <group>L1_Knowledge</group>
      <groupName>知识性问题</groupName>
      <ability>L2_Knowledge</ability>
      <abilityName>其他知识</abilityName>
      <candidateList>
        <item>〔2023〕152号</item>
      </candidateList>
      <explain>发文字号格式错误。</explain>
      <paraID>7FA1BD72</paraID>
      <start>98</start>
      <end>108</end>
      <status>modified</status>
      <modifiedWord>〔2023〕152号</modifiedWord>
      <trackRevisions>false</trackRevisions>
    </reviewItem>
    <reviewItem>
      <errorID>106747ad-8382-4286-9734-5bae107c114c</errorID>
      <errorWord>,</errorWord>
      <group>L1_Format</group>
      <groupName>格式问题</groupName>
      <ability>L2_HalfPunc</ability>
      <abilityName>全半角检查</abilityName>
      <candidateList>
        <item>，</item>
      </candidateList>
      <explain>文本全半角错误。</explain>
      <paraID>7FA1BD72</paraID>
      <start>259</start>
      <end>260</end>
      <status>modified</status>
      <modifiedWord>，</modifiedWord>
      <trackRevisions>false</trackRevisions>
    </reviewItem>
    <reviewItem>
      <errorID>9450c320-f5b0-4a69-9363-5c23fb22f290</errorID>
      <errorWord>共公</errorWord>
      <group>L1_Word</group>
      <groupName>字词问题</groupName>
      <ability>L2_Typo</ability>
      <abilityName>字词错误</abilityName>
      <candidateList>
        <item>共</item>
      </candidateList>
      <explain/>
      <paraID>5CE30B0B</paraID>
      <start>17</start>
      <end>18</end>
      <status>modified</status>
      <modifiedWord>共</modifiedWord>
      <trackRevisions>false</trackRevisions>
    </reviewItem>
    <reviewItem>
      <errorID>2b1d9a3e-10d6-49c8-a824-55e031e2f279</errorID>
      <errorWord>学</errorWord>
      <group>L1_Word</group>
      <groupName>字词问题</groupName>
      <ability>L2_Typo</ability>
      <abilityName>字词错误</abilityName>
      <candidateList>
        <item>学的</item>
      </candidateList>
      <explain/>
      <paraID>4A517817</paraID>
      <start>137</start>
      <end>138</end>
      <status>ignored</status>
      <modifiedWord/>
      <trackRevisions>false</trackRevisions>
    </reviewItem>
    <reviewItem>
      <errorID>a4016fb4-8956-47c3-b9fa-9f9ab2583121</errorID>
      <errorWord>性</errorWord>
      <group>L1_Word</group>
      <groupName>字词问题</groupName>
      <ability>L2_Typo</ability>
      <abilityName>字词错误</abilityName>
      <candidateList>
        <item>性地</item>
      </candidateList>
      <explain/>
      <paraID>6715D1D1</paraID>
      <start>18</start>
      <end>20</end>
      <status>modified</status>
      <modifiedWord>性地</modifiedWord>
      <trackRevisions>false</trackRevisions>
    </reviewItem>
    <reviewItem>
      <errorID>79604777-c15f-4961-a75b-5de10182a7c6</errorID>
      <errorWord>引</errorWord>
      <group>L1_Word</group>
      <groupName>字词问题</groupName>
      <ability>L2_Typo</ability>
      <abilityName>字词错误</abilityName>
      <candidateList>
        <item>引导</item>
      </candidateList>
      <explain>〈动〉❶带领▲：厂长～记者参观了几个主要车间。❷指引；诱导：老师对学生要善于～。</explain>
      <paraID>6E4C8E10</paraID>
      <start>28</start>
      <end>29</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5d2440-2766-4a51-8dd0-69deadd13199}">
  <ds:schemaRefs/>
</ds:datastoreItem>
</file>

<file path=docProps/app.xml><?xml version="1.0" encoding="utf-8"?>
<Properties xmlns="http://schemas.openxmlformats.org/officeDocument/2006/extended-properties" xmlns:vt="http://schemas.openxmlformats.org/officeDocument/2006/docPropsVTypes">
  <Template>Normal</Template>
  <Pages>15</Pages>
  <Words>10777</Words>
  <Characters>11284</Characters>
  <Lines>67</Lines>
  <Paragraphs>18</Paragraphs>
  <TotalTime>5</TotalTime>
  <ScaleCrop>false</ScaleCrop>
  <LinksUpToDate>false</LinksUpToDate>
  <CharactersWithSpaces>11368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2025-12-12T10:09:00Z</dcterms:created>
  <dc:creator>大苹果</dc:creator>
  <cp:lastModifiedBy>Administrator</cp:lastModifiedBy>
  <cp:lastPrinted>2025-12-22T06:12:00Z</cp:lastPrinted>
  <dcterms:modified xsi:type="dcterms:W3CDTF">2026-01-16T08:34:40Z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2025-12-08T15:23:27Z</vt:filetime>
  </property>
  <property fmtid="{D5CDD505-2E9C-101B-9397-08002B2CF9AE}" pid="4" name="KSOTemplateDocerSaveRecord">
    <vt:lpwstr>eyJoZGlkIjoiODA0YWViOWQxMDQ0OTFmMDY5YjY3ZGM2YzhiMmJmM2MifQ==</vt:lpwstr>
  </property>
  <property fmtid="{D5CDD505-2E9C-101B-9397-08002B2CF9AE}" pid="5" name="KSOProductBuildVer">
    <vt:lpwstr>2052-12.1.0.23542</vt:lpwstr>
  </property>
  <property fmtid="{D5CDD505-2E9C-101B-9397-08002B2CF9AE}" pid="6" name="ICV">
    <vt:lpwstr>B0FD6AA513C74CF49B15BE87CB52FCC0_13</vt:lpwstr>
  </property>
</Properties>
</file>